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1B_90/2020 vom 19. März 2020</w:t>
      </w:r>
    </w:p>
    <w:p>
      <w:r>
        <w:t>Bundesgericht, 2020-03-19, FR</w:t>
      </w:r>
    </w:p>
    <w:p>
      <w:r>
        <w:rPr>
          <w:b/>
        </w:rPr>
        <w:t xml:space="preserve">Quelle: </w:t>
      </w:r>
      <w:r>
        <w:t>https://mcp.opencaselaw.ch/entscheid/bger_1B_90_2020</w:t>
      </w:r>
    </w:p>
    <w:p>
      <w:r>
        <w:t>FR: TF 1B_90/2020 du 19 mars 2020</w:t>
      </w:r>
    </w:p>
    <w:p>
      <w:r>
        <w:t>IT: TF 1B_90/2020 del 19 marzo 2020</w:t>
      </w:r>
    </w:p>
    <w:p>
      <w:pPr>
        <w:pStyle w:val="Heading2"/>
      </w:pPr>
      <w:r>
        <w:t>Erwägungen</w:t>
      </w:r>
    </w:p>
    <w:p>
      <w:r>
        <w:rPr>
          <w:b/>
        </w:rPr>
        <w:t>E. 1</w:t>
      </w:r>
    </w:p>
    <w:p>
      <w:r>
        <w:t>Le recours en matière pénale ( art. 78 al. 1 LTF ) est ouvert contre une décision relative aux mesures de substitution à la détention provisoire au sens de l' art. 237 CPP . Le recours a été formé en temps utile ( art. 100 al. 1 LTF ) contre une décision rendue en dernière instance cantonale ( art. 80 LTF ) et les conclusions présentées sont recevables au regard de l' art. 107 al. 2 LTF . Si la décision attaquée a cessé de produire ses effets le 28 février 2020, le recourant conserve néanmoins un intérêt actuel et pratique, au sens de l'art. 81 al. 1 let. a et let. b ch. 1 LTF, à faire vérifier que les mesures de substitution litigieuses sont conformes au droit dès lors qu'elles ont été reconduites par le Juge des mesures de contrainte pour une durée de trois mois. Il y a donc lieu d'entrer en matière.</w:t>
      </w:r>
    </w:p>
    <w:p>
      <w:r>
        <w:rPr>
          <w:b/>
        </w:rPr>
        <w:t>E. 2</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de manière non exhaustive (cf. ATF 142 IV 367 consid. 2.1 p. 370), certaines mesures de substitution, notamment l'assignation à résidence ou l'interdiction de se rendre dans un certain lieu ou un certain immeuble (let. c) ou l'interdiction d'entretenir des relations avec certaines personnes (let. g). Selon l' art.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Les mesures de substitution ne sauraient en effet sans autre être considérées comme des atteintes bénignes aux droits fondamentaux du prévenu ( ATF 141 IV 190 consid. 3.3 p. 192). A l'instar de la détention provisoire ou pour des motifs de sûreté, les mesures de substitution doivent en tout temps demeurer proportionnées au but poursuivi, tant par leur nature que par leur durée ( ATF 140 IV 74 consid. 2.2 p. 78).</w:t>
      </w:r>
    </w:p>
    <w:p>
      <w:r>
        <w:t>Conformément à l' art. 237 al. 5 CPP ,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 1B_312/2019 du 10 juillet 2019 consid. 2.1).</w:t>
      </w:r>
    </w:p>
    <w:p>
      <w:r>
        <w:rPr>
          <w:b/>
        </w:rPr>
        <w:t>E. 3</w:t>
      </w:r>
    </w:p>
    <w:p>
      <w:r>
        <w:t>Le recourant reproche à la Chambre pénale des recours d'avoir fondé sa décision sur des soupçons insuffisamment établis et datant de plus de huit mois. Il rappelle qu'aucun élément n'est venu confirmer la version de son épouse qui s'oppose à la sienne et qui devait être relativisée compte tenu du climat de tension existant. Par ailleurs, les témoins qui seraient en mesure d'apporter une version différente de la situation et dont l'audition a été demandée le 19 février 2019, ne devraient être entendus qu'en mars 2020. Avec sa réplique, il produit un témoignage écrit accréditant sa thèse. Il renvoie pour le surplus à son recours cantonal.</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w:t>
      </w:r>
    </w:p>
    <w:p>
      <w:r>
        <w:rPr>
          <w:b/>
        </w:rPr>
        <w:t>E. 3.2</w:t>
      </w:r>
    </w:p>
    <w:p>
      <w:r>
        <w:t>Le prévenu est mis en cause par son épouse pour des voies de fait et/ou des lésions corporelles, des menaces et des injures prétendument commises en août 2018, et pour de nouveaux actes de violence perpétrés en juillet 2019 corroborés par leur fils Marc et par le constat médical effectué le même jour. Il existe ainsi, en l'état, des soupçons suffisants en ce qui concerne les infractions contre l'intégrité corporelle reprochées au recourant. Le fait que celui-ci ne s'est pas signalé par d'autres actes de violence après le dernier épisode du mois de juillet ne suffit pas pour retenir que les charges se seraient amoindries. Les évènements du mois de juillet se sont déroulés à huis clos de sorte qu'il importe peu que les témoins dont le recourant a requis l'audition n'aient pas encore été entendus. Le témoignage écrit produit en réplique constitue une pièce nouvelle qui ne peut, en vertu de l' art. 99 al. 1 LTF , être prise en considération à ce stade. En tant qu'il conteste l'existence de soupçons suffisants en lien avec les actes de violence envers son épouse, le recours est ainsi mal fondé.</w:t>
      </w:r>
    </w:p>
    <w:p>
      <w:r>
        <w:rPr>
          <w:b/>
        </w:rPr>
        <w:t>E. 4</w:t>
      </w:r>
    </w:p>
    <w:p>
      <w:r>
        <w:t>Le recourant conteste l'existence d'un risque de réitération que la Chambre pénale des recours a retenu sur la base de faits fermement contestés et remontant à plus de huit mois. Il admet s'être rendu à la ferme U.________, mais pour y travailler et non pour terroriser sa femme ou pour la suivre. Il aurait toujours respecté l'interdiction de se rendre au domicile de son épouse. Depuis l'incident survenu dans l'écurie, sur lequel il s'est expliqué et qui remonte à juillet 2019, aucun reproche ne peut lui être fait quant à son comportement en lien avec le domaine U.________.</w:t>
      </w:r>
    </w:p>
    <w:p>
      <w:r>
        <w:t>Il est reproché au recourant d'avoir exercé en juillet 2019 de nouvelles violences sur son épouse qui ont fait l'objet d'un constat médical (douleurs à la mâchoire côté droit, à l'épaule droite et au coude droit, hématome à l'avant-bras à droite) alors qu'il faisait l'objet de mesures de substitution destinées à pallier ce risque. Dans ces circonstances, la cour cantonale a retenu à bon droit un risque concret de réitération d'actes de violence si le recourant était amené à se trouver une nouvelle fois en présence de son épouse. Le fait qu'il ne se soit pas signalé pour des comportements analogues depuis lors ne supprime pas ce risque et n'est pas de nature à le rendre purement théorique. Il importe également peu, pour apprécier le risque de récidive, que les actes de violence soient survenus non pas au domicile de son épouse, mais dans les dépendances de celui-ci, fait qui a amené le Tribunal des mesures de contrainte à élargir le périmètre d'interdiction à la ferme U.________ et à ses dépendances.</w:t>
      </w:r>
    </w:p>
    <w:p>
      <w:r>
        <w:t>Sur ce point également, le recours est mal fondé.</w:t>
      </w:r>
    </w:p>
    <w:p>
      <w:r>
        <w:rPr>
          <w:b/>
        </w:rPr>
        <w:t>E. 5</w:t>
      </w:r>
    </w:p>
    <w:p>
      <w:r>
        <w:t>Le recourant reproche enfin à la Chambre pénale des recours d'avoir confirmé des mesures de substitution qui ne sont pas proportionnées, qui l'empêchent de travailler et qui violent sa liberté économique. Elle aurait fait abstraction des faits nouveaux, qui démontrent la péjoration de sa situation financière consécutive à l'interdiction qui lui est faite de se rendre sur le domaine U.________ où il exerçait la moitié de son temps de travail et réalisait la moitié de ses revenus. L'interdiction de se rendre à l'intérieur de l'appartement de son épouse suffirait à respecter la proportionnalité.</w:t>
      </w:r>
    </w:p>
    <w:p>
      <w:r>
        <w:rPr>
          <w:b/>
        </w:rPr>
        <w:t>E. 5.1</w:t>
      </w:r>
    </w:p>
    <w:p>
      <w:r>
        <w:t>L'interdiction de se rendre au domicile de son épouse à la ferme U.________ prononcée initialement par le Tribunal des mesures de contrainte n'a pas empêché de nouveaux actes de violence entre les époux A.________ dans l'écurie voisine. Il importe peu à ce stade de savoir qui est à l'origine des violences, celles subies par B.A.________ ayant été constatées médicalement. La cour cantonale pouvait ainsi considérer que seule une extension du périmètre d'éloignement au domaine U.________ était propre à pallier le risque de nouveaux actes de violence entre les époux A.________. De ce point de vue, la mesure litigieuse répond aux exigences d'adéquation et de nécessité. Cela étant, la cour cantonale pouvait considérer que l'interdiction de se rendre sur le domaine U.________ constituait actuellement la seule mesure propre à prévenir le risque de récidive de nouveaux actes de violence entre le recourant et son épouse. Cette mesure devait être privilégiée à celle préconisée par le recourant, consistant à restreindre le périmètre d'interdiction au domicile de son épouse, qui avait montré ses limites puisqu'elle n'avait pas permis d'éviter un nouvel incident entre les époux dans les écuries de la ferme.</w:t>
      </w:r>
    </w:p>
    <w:p>
      <w:r>
        <w:rPr>
          <w:b/>
        </w:rPr>
        <w:t>E. 5.2</w:t>
      </w:r>
    </w:p>
    <w:p>
      <w:r>
        <w:t>Certes, la mesure de substitution litigieuse porte atteinte à la liberté économique du recourant qui ne peut désormais plus se rendre sur le domaine U.________ pour y travailler. Se fondant sur le jugement civil rendu le 16 décembre 2019, la cour cantonale a toutefois retenu que le recourant réalisait, dès avril 2019, un revenu mensuel de l'ordre de 9'000 fr. Le recourant conteste certes ce chiffre au motif qu'il aurait servi à fixer les contributions d'entretien. Il affirme avoir perdu la moitié de ses revenus depuis la mise en place de la mesure de substitution litigieuse étant donné que le travail qu'il effectuait sur le domaine U.________ représentait la moitié de son activité; il ne serait plus en mesure de s'acquitter de ses dettes. Il ne s'appuie cependant sur aucune pièce du dossier qui permettrait d'établir les activités qu'il déployait sur le domaine avant l'entrée en force de l'interdiction de se rendre, les revenus qu'il en tirait et le manque à gagner inhérent à la mesure d'interdiction litigieuse et de démontrer la véracité de ses dires Le seul extrait de compte bancaire pour le mois de janvier 2020 n'est à cet égard pas suffisant. Quant aux documents produits en réplique, outre qu'ils paraissent nouveaux et dès lors irrecevables, ils n'ont guère de force probante quant à la perte effective subie par le recourant. Cela étant, en l'état, les difficultés financières auxquelles le recourant dit faire face ne suffisent pas pour supprimer l'interdiction de se rendre sur le domaine U.________.</w:t>
      </w:r>
    </w:p>
    <w:p>
      <w:r>
        <w:rPr>
          <w:b/>
        </w:rPr>
        <w:t>E. 5.3</w:t>
      </w:r>
    </w:p>
    <w:p>
      <w:r>
        <w:t>Les critiques sur la manière dont est conduite l'instruction tombent à faux dès lors que de nouvelles plaintes ont été déposées depuis l'ouverture de l'instruction pénale, dont la dernière en date le 17 février 2020, qui doivent faire l'objet de mesures d'instruction. Il appartiendra toutefois au Ministère public de faire diligence dans la suite de la procédure.</w:t>
      </w:r>
    </w:p>
    <w:p>
      <w:r>
        <w:rPr>
          <w:b/>
        </w:rPr>
        <w:t>E. 6</w:t>
      </w:r>
    </w:p>
    <w:p>
      <w:r>
        <w:t>Le recours doit par conséquent être rejeté dans la mesure où il est recevable. Vu les circonstances, le présent arrêt peut être rendu sans frais (cf. art. 66 al. 1, 2</w:t>
      </w:r>
    </w:p>
    <w:p>
      <w:r>
        <w:t>ème phrase, LTF), ce qui dispense de se prononcer sur la demande d'assistance judiciaire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