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87/2022 vom 24. Februar 2022</w:t>
      </w:r>
    </w:p>
    <w:p>
      <w:r>
        <w:t>Bundesgericht, 2022-02-24, DE</w:t>
      </w:r>
    </w:p>
    <w:p>
      <w:r>
        <w:rPr>
          <w:b/>
        </w:rPr>
        <w:t xml:space="preserve">Quelle: </w:t>
      </w:r>
      <w:r>
        <w:t>https://mcp.opencaselaw.ch/entscheid/bger_1B_87_2022</w:t>
      </w:r>
    </w:p>
    <w:p>
      <w:r>
        <w:t>FR: TF 1B 87/2022 du 24 février 2022</w:t>
      </w:r>
    </w:p>
    <w:p>
      <w:r>
        <w:t>IT: TF 1B 87/2022 del 24 febbraio 2022</w:t>
      </w:r>
    </w:p>
    <w:p>
      <w:pPr>
        <w:pStyle w:val="Heading2"/>
      </w:pPr>
      <w:r>
        <w:t>Regeste</w:t>
      </w:r>
    </w:p>
    <w:p>
      <w:r>
        <w:t>Strafverfahren | Strafprozess</w:t>
      </w:r>
    </w:p>
    <w:p>
      <w:pPr>
        <w:pStyle w:val="Heading2"/>
      </w:pPr>
      <w:r>
        <w:t>Erwägungen</w:t>
      </w:r>
    </w:p>
    <w:p>
      <w:r>
        <w:rPr>
          <w:b/>
        </w:rPr>
        <w:t>E. 1</w:t>
      </w:r>
    </w:p>
    <w:p>
      <w:r>
        <w:t>Im Berufungsverfahren betreffend Hausfriedensbruch stellte der Berufungskläger A.________ mit seiner Berufungserklärung vom 23. Dezember 2021 zwei Beweisanträge. Er ersuchte um Befragung der Privatklägerin sowie um Befragung des Polizeibeamten B.________. Das Obergericht des Kantons Thurgau hiess mit Entscheid vom 22. Februar 2022 den ersten Beweisantrag gut; die Privatklägerin werde anlässlich einer mündlichen Berufungsverhandlung befragt. Von der Befragung des Polizeibeamten B.________ sah das Obergericht einstweilen ab. Es führte aus, dem Berufungskläger bleibe es unbenommen, anlässlich der Berufungsverhandlung weitere Beweisanträge zu stellen.</w:t>
      </w:r>
    </w:p>
    <w:p>
      <w:r>
        <w:rPr>
          <w:b/>
        </w:rPr>
        <w:t>E. 2</w:t>
      </w:r>
    </w:p>
    <w:p>
      <w:r>
        <w:t>A.________ führt mit Eingabe vom 23. Februar 2022 Beschwerde in Strafsachen gegen den Entscheid des Obergerichts des Kantons Thurgau. Das Bundesgericht verzichtet auf die Einholung von Vernehmlassungen.</w:t>
      </w:r>
    </w:p>
    <w:p>
      <w:r>
        <w:rPr>
          <w:b/>
        </w:rPr>
        <w:t>E. 3</w:t>
      </w:r>
    </w:p>
    <w:p>
      <w:r>
        <w:t>Mit dem angefochtenen Entscheid wird das Verfahren gegen den Beschwerdeführer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 Nach ständiger Praxis hat der Beschwerdeführer im Einzelnen darzulegen, inwiefern die Beschwerdevoraussetzungen nach Art. 93 Abs. 1 BGG erfüllt sind, ansonsten auf die Beschwerde mangels hinreichender Begründung nicht einzutreten ist ( BGE 141 IV 284 E. 2; 289 E. 1.3). Der Beschwerdeführer äussert sich nicht zu den Beschwerdevoraussetzungen nach Art. 93 Abs. 1 BGG . Diese sind auch nicht offensichtlich gegeben. Vielmehr liegt nach ständiger Praxis des Bundesgerichts bei Zwischenentscheiden, welche die Beweisführung betreffen, grundsätzlich kein nicht wieder gutzumachender Nachteil rechtlicher Art vor. Auf die Beschwerde ist deshalb im vereinfachten Verfahren nach Art. 108 Abs. 1 BGG wegen Verletzung der Begründungspflicht nicht einzutreten.</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