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87/2016 vom 17. März 2016</w:t>
      </w:r>
    </w:p>
    <w:p>
      <w:r>
        <w:t>Bundesgericht, 2016-03-17, DE</w:t>
      </w:r>
    </w:p>
    <w:p>
      <w:r>
        <w:rPr>
          <w:b/>
        </w:rPr>
        <w:t xml:space="preserve">Quelle: </w:t>
      </w:r>
      <w:r>
        <w:t>https://mcp.opencaselaw.ch/entscheid/bger_1B_87_2016</w:t>
      </w:r>
    </w:p>
    <w:p>
      <w:r>
        <w:t>FR: TF 1B 87/2016 du 17 mars 2016</w:t>
      </w:r>
    </w:p>
    <w:p>
      <w:r>
        <w:t>IT: TF 1B 87/2016 del 17 marzo 2016</w:t>
      </w:r>
    </w:p>
    <w:p>
      <w:pPr>
        <w:pStyle w:val="Heading2"/>
      </w:pPr>
      <w:r>
        <w:t>Regeste</w:t>
      </w:r>
    </w:p>
    <w:p>
      <w:r>
        <w:t>Strafverfahren | Strafprozess</w:t>
      </w:r>
    </w:p>
    <w:p>
      <w:pPr>
        <w:pStyle w:val="Heading2"/>
      </w:pPr>
      <w:r>
        <w:t>Erwägungen</w:t>
      </w:r>
    </w:p>
    <w:p>
      <w:r>
        <w:rPr>
          <w:b/>
        </w:rPr>
        <w:t>E. 1</w:t>
      </w:r>
    </w:p>
    <w:p>
      <w:r>
        <w:t>Im Berufungsverfahren gegen das Urteil des Strafgerichts des Kantons Basel-Stadt vom 1. September 2014 verfügte der Präsident des Appellationsgerichts Basel Stadt u.a., dass die Berufungskläger erneut darüber informiert würden, dass die Zusammensetzung des Berufungsgerichts mit der Ankündigung des Berufungstermins festgesetzt und mitgeteilt werde. Ebenfalls zu diesem Zeitpunkt werde über die verschiedenen Beweisanträge der Parteien entschieden, wobei eine solche Verfügung selbstverständlich unter Vorbehalt eines anderslautenden Entscheides des Berufungsgerichts stehe. Weiter sei (unverändert) vorgesehen, dass das Berufungsgericht anlässlich der Berufungsverhandlung sowohl über die formellen Einwände als auch über die materiellen Einwände gegen den angefochtenen Entscheid des Strafgerichts entscheiden werde.</w:t>
      </w:r>
    </w:p>
    <w:p>
      <w:r>
        <w:rPr>
          <w:b/>
        </w:rPr>
        <w:t>E. 2</w:t>
      </w:r>
    </w:p>
    <w:p>
      <w:r>
        <w:t>A.________ führt mit Eingabe vom 8. März 2016 Beschwerde in Strafsachen gegen die Verfügung des Appellationsgerichts Basel-Stadt vom 26. Februar 2016. Das Bundesgericht verzichtet auf die Einholung von Vernehmlassungen.</w:t>
      </w:r>
    </w:p>
    <w:p>
      <w:r>
        <w:rPr>
          <w:b/>
        </w:rPr>
        <w:t>E. 3</w:t>
      </w:r>
    </w:p>
    <w:p>
      <w:r>
        <w:t>Die angefochtene prozessleitende Verfügung schliesst das Strafverfahren nicht ab. Sie stellt einen Zwischenentscheid dar. Dieser betrifft weder die Zuständigkeit noch den Ausstand. Es handelt sich somit um einen "anderen Zwischenentscheid" nach Art. 93 BGG . Dagegen ist die Beschwerde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w:t>
      </w:r>
    </w:p>
    <w:p>
      <w:r>
        <w:rPr>
          <w:b/>
        </w:rPr>
        <w:t>E. 3.1</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139 IV 113 E. 1 S. 115, je mit Hinweisen).</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3.3</w:t>
      </w:r>
    </w:p>
    <w:p>
      <w:r>
        <w:t>Der Beschwerdeführer vermag mit seinen weitschweifigen Ausführungen nicht nachvollziehbar aufzuzeigen, inwiefern ihm durch die angefochtene Verfügung konkret ein Nachteil rechtlicher Natur erwachsen könnte, der sich mit einem für ihn günstigen Entscheid, sei es auch auf dem Rechtsmittelweg ans Bundesgericht, nicht mehr beheben liess. Da somit die Beschwerdevoraussetzungen von Art. 93 Abs. 1 BGG weder dargelegt noch ersichtlich sind, ist im vereinfachten Verfahren nach Art. 108 Abs. 1 BGG auf die Beschwerde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