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85/2017 vom 9. Mai 2017</w:t>
      </w:r>
    </w:p>
    <w:p>
      <w:r>
        <w:t>Bundesgericht, 2017-05-09, DE</w:t>
      </w:r>
    </w:p>
    <w:p>
      <w:r>
        <w:rPr>
          <w:b/>
        </w:rPr>
        <w:t xml:space="preserve">Quelle: </w:t>
      </w:r>
      <w:r>
        <w:t>https://mcp.opencaselaw.ch/entscheid/bger_1B_85_2017</w:t>
      </w:r>
    </w:p>
    <w:p>
      <w:r>
        <w:t>FR: TF 1B 85/2017 du 9 mai 2017</w:t>
      </w:r>
    </w:p>
    <w:p>
      <w:r>
        <w:t>IT: TF 1B 85/2017 del 9 maggio 2017</w:t>
      </w:r>
    </w:p>
    <w:p>
      <w:pPr>
        <w:pStyle w:val="Heading2"/>
      </w:pPr>
      <w:r>
        <w:t>Regeste</w:t>
      </w:r>
    </w:p>
    <w:p>
      <w:r>
        <w:t>Strafverfahren; Prozesskosten | Strafprozess</w:t>
      </w:r>
    </w:p>
    <w:p>
      <w:pPr>
        <w:pStyle w:val="Heading2"/>
      </w:pPr>
      <w:r>
        <w:t>Erwägungen</w:t>
      </w:r>
    </w:p>
    <w:p>
      <w:r>
        <w:rPr>
          <w:b/>
        </w:rPr>
        <w:t>E. 1.1</w:t>
      </w:r>
    </w:p>
    <w:p>
      <w:r>
        <w:t>Angefochten ist ein kantonal letztinstanzlicher Entscheid in einer Strafsache; dagegen steht die Beschwerde in Strafsachen offen ( Art. 78 Abs. 1, Art. 80 Abs. 1, Art. 90 BGG ). Der angefochtene Entscheid schliesst das Strafverfahren nicht ab; es handelt sich um einen Zwischenentscheid im Sinn von Art. 93 Abs. 1 BGG . Zu dessen Anfechtung ist der Beschwerdeführer nach dem Grundsatz der Einheit des Verfahrens von vornherein nur befugt, wenn er auch zur Anfechtung des Endentscheids berechtigt wäre. Dies trifft bei der Anfechtung einer Nichtanhandnahme durch die Privatklägerschaft nur unter den Voraussetzungen von Art. 81 Abs. 1 lit. a und b Ziff. 5 BGG zu. Es ist Sache des Beschwerdeführers, seine Befugnis zur Beschwerde darzulegen, soweit das nicht offensichtlich ist ( Art. 42 Abs. 2 BGG ; BGE 133 II 249 E. 1.1; 353 E. 1). Vorliegend ist das nicht der Fall. Die Beschwerdelegitimation des Privatklägers setzt grundsätzlich voraus, dass er Zivilansprüche geltend machen kann. Der Kanton Solothurn haftet für die amtliche Tätigkeit der vom Beschwerdeführer ins Recht gefassten Betreibungsbeamten nach Verantwortlichkeitsgesetz, mithin nach öffentlichem Recht, was zivilrechtliche Forderungen des Beschwerdeführers gegen die Beamten ausschliesst. Der Beschwerdeführer begründet unter Verletzung seiner gesetzlichen Begründungspflicht nicht nachvollziehbar bzw. sachgerecht, weshalb er (entgegen dem Anschein) zur Beschwerde befugt sein sollte. Darauf ist nicht einztreten.</w:t>
      </w:r>
    </w:p>
    <w:p>
      <w:r>
        <w:rPr>
          <w:b/>
        </w:rPr>
        <w:t>E. 1.2</w:t>
      </w:r>
    </w:p>
    <w:p>
      <w:r>
        <w:t>Die Vorinstanz hat dem Beschwerdeführer in der Sache dargelegt, dass er als Privatkläger nach Art. 136 Abs. 1 StPO Anspruch auf unentgeltliche Rechtspflege nur zur Durchsetzung von Zivilansprüchen habe. Solche könne er nicht geltend machen, weshalb ihm die Entrichtung einer Prozesskostensicherheit aufzuerlegen sei. Der Beschwerdeführer legt unter Verletzung seiner Begründungspflicht nicht nachvollziehbar dar, inwiefern das Obergericht mit dem angefochtenen Entscheid Bundesrecht verletzt haben könnte. Auf die Beschwerde wäre auch aus diesem Grund nicht einzutreten.</w:t>
      </w:r>
    </w:p>
    <w:p>
      <w:r>
        <w:rPr>
          <w:b/>
        </w:rPr>
        <w:t>E. 1.3</w:t>
      </w:r>
    </w:p>
    <w:p>
      <w:r>
        <w:t>Streitgegenstand ist im Übrigen einzig die angefochtene Kostenvorschussverfügung. Es kann im vorliegenden Verfahren nicht darum gehen, die jahrelangen Streitigkeiten des Beschwerdeführers mit seinem früheren Arbeitgeber, dem Kanton Solothurn, aufzuarbeiten. Aus diesem Grund gehen die vom Beschwerdeführer eingereichten "Nachträge" zur Beschwerde weitgehend an der Sache vorbei.</w:t>
      </w:r>
    </w:p>
    <w:p>
      <w:r>
        <w:rPr>
          <w:b/>
        </w:rPr>
        <w:t>E. 2</w:t>
      </w:r>
    </w:p>
    <w:p>
      <w:r>
        <w:t>Auf die Beschwerde ist damit im vereinfachten Verfahren nach Art. 108 BGG nicht einzutreten. Es rechtfertigt sich unter den vorliegenden Umständen, auf die Auferlegung von Gerichtskosten zu verzichten ( Art. 66 Abs. 1 BGG ). Damit wird insoweit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