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1B_85/2013 vom 25. April 2013</w:t>
      </w:r>
    </w:p>
    <w:p>
      <w:r>
        <w:t>Bundesgericht, 2013-04-25, DE</w:t>
      </w:r>
    </w:p>
    <w:p>
      <w:r>
        <w:rPr>
          <w:b/>
        </w:rPr>
        <w:t xml:space="preserve">Quelle: </w:t>
      </w:r>
      <w:r>
        <w:t>https://mcp.opencaselaw.ch/entscheid/bger_1B_85_2013</w:t>
      </w:r>
    </w:p>
    <w:p>
      <w:r>
        <w:t>FR: TF 1B_85/2013 du 25 avril 2013</w:t>
      </w:r>
    </w:p>
    <w:p>
      <w:r>
        <w:t>IT: TF 1B_85/2013 del 25 aprile 2013</w:t>
      </w:r>
    </w:p>
    <w:p>
      <w:pPr>
        <w:pStyle w:val="Heading2"/>
      </w:pPr>
      <w:r>
        <w:t>Erwägungen</w:t>
      </w:r>
    </w:p>
    <w:p>
      <w:r>
        <w:rPr>
          <w:b/>
        </w:rPr>
        <w:t>E. 1</w:t>
      </w:r>
    </w:p>
    <w:p>
      <w:r>
        <w:t>Nach Art. 42 Abs. 2 BGG ist in der Begründung der Beschwerde in gedrängter Form darzulegen, inwiefern der angefochtene Akt Recht verletzt. Wer Beschwerde führt, muss sich wenigstens kurz mit den Erwägungen des angefochtenen Entscheids auseinandersetzen.</w:t>
      </w:r>
    </w:p>
    <w:p>
      <w:r>
        <w:t>Die Vorinstanz legt in ihrem Beschluss dar, dass das von der Beschwerdeführerin beanstandete Vorgehen bei den Befragungen an der Hauptverhandlung keine Befangenheit erkennen lasse und der Ausstandsgrund von Art. 56 lit. f StPO deshalb nicht erfüllt sei. Dies gelte namentlich auch mit Blick auf die Frage nach der Unterschriftsberechtigung. Dass darauf nicht die Auskunftsperson selber geantwortet habe, sei ohne Belang, da der Amtsgerichtspräsident die Rechtslage unabhängig davon habe abklären müssen.</w:t>
      </w:r>
    </w:p>
    <w:p>
      <w:r>
        <w:t>Die Beschwerdeführerin wiederholt im Wesentlichen lediglich die bereits bei der Vorinstanz erhobenen Rügen, ohne sich mit der Würdigung im angefochtenen Entscheid näher auseinanderzusetzen. Sie kritisiert in mehreren Punkten die Befragungspraxis des Amtsgerichtspräsidenten, die sie offenbar als parteiisch und ungerecht empfindet. Sie legt jedoch mit keinem Wort dar, inwiefern die erfolgte Art der Befragung den gesetzlichen Vorschriften widersprechen sollte und sich daraus eine Befangenheit des Amtsgerichtspräsidenten gemäss Art. 56 lit. f StPO bzw. Art. 6 EMRK ergeben könnte. Ihre Eingabe genügt damit den Anforderungen von Art. 42 Abs. 2 BGG nicht.</w:t>
      </w:r>
    </w:p>
    <w:p>
      <w:r>
        <w:rPr>
          <w:b/>
        </w:rPr>
        <w:t>E. 2</w:t>
      </w:r>
    </w:p>
    <w:p>
      <w:r>
        <w:t>Aus diesen Gründen ist auf die Beschwerde nicht einzutreten.</w:t>
      </w:r>
    </w:p>
    <w:p>
      <w:r>
        <w:t>Angesichts der Umstände rechtfertigt es sich, auf die Erhebung von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