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1B_84/2018 vom 28. Februar 2018</w:t>
      </w:r>
    </w:p>
    <w:p>
      <w:r>
        <w:t>Bundesgericht, 2018-02-28, DE</w:t>
      </w:r>
    </w:p>
    <w:p>
      <w:r>
        <w:rPr>
          <w:b/>
        </w:rPr>
        <w:t xml:space="preserve">Quelle: </w:t>
      </w:r>
      <w:r>
        <w:t>https://mcp.opencaselaw.ch/entscheid/bger_1B_84_2018</w:t>
      </w:r>
    </w:p>
    <w:p>
      <w:r>
        <w:t>FR: TF 1B_84/2018 du 28 février 2018</w:t>
      </w:r>
    </w:p>
    <w:p>
      <w:r>
        <w:t>IT: TF 1B_84/2018 del 28 febbraio 2018</w:t>
      </w:r>
    </w:p>
    <w:p>
      <w:pPr>
        <w:pStyle w:val="Heading2"/>
      </w:pPr>
      <w:r>
        <w:t>Erwägungen</w:t>
      </w:r>
    </w:p>
    <w:p>
      <w:r>
        <w:rPr>
          <w:b/>
        </w:rPr>
        <w:t>E. 1</w:t>
      </w:r>
    </w:p>
    <w:p>
      <w:r>
        <w:t>Die Eintretensvoraussetzungen nach Art. 78 ff. BGG sind erfüllt und geben zu keinen Bemerkungen Anlass.</w:t>
      </w:r>
    </w:p>
    <w:p>
      <w:r>
        <w:rPr>
          <w:b/>
        </w:rPr>
        <w:t>E. 2.1</w:t>
      </w:r>
    </w:p>
    <w:p>
      <w:r>
        <w:t>Der Beschwerdeführer macht geltend, indem das Zwangsmassnahmengericht auf seine beantragte mündliche Anhörung verzichtet habe, habe es seinen Anspruch auf rechtliches Gehör ( Art. 29 Abs. 2 BV ) verletzt. Die Voraussetzungen für die Heilung des Verfahrensmangels im vorinstanzlichen Beschwerdeverfahren seien nicht erfüllt gewesen.</w:t>
      </w:r>
    </w:p>
    <w:p>
      <w:r>
        <w:rPr>
          <w:b/>
        </w:rPr>
        <w:t>E. 2.2</w:t>
      </w:r>
    </w:p>
    <w:p>
      <w:r>
        <w:t>Gemäss Art. 229 StPO entscheidet über die Anordnung der Sicherheitshaft bei vorbestehender Untersuchungshaft das Zwangsmassnahmengericht auf schriftliches Gesuch der Staatsanwaltschaft (Abs. 1). Das Verfahren vor dem Zwangsmassnahmengericht richtet sich bei vorbestehender Untersuchungshaft sinngemäss nach Artikel 227 (Abs. 3 lit. b). Gemäss Art. 227 Abs. 6 StPO ist das Verfahren vor dem Zwangsmassnahmengericht in der Regel schriftlich, doch kann es eine Verhandlung anordnen; diese ist nicht öffentlich.</w:t>
      </w:r>
    </w:p>
    <w:p>
      <w:r>
        <w:t>Nach der Rechtsprechung hat das Zwangsmassnahmengericht eine mündliche Verhandlung nach Art. 227 Abs. 6 StPO unter dem Gesichtswinkel des Anspruchs auf rechtliches Gehör nur dann ausnahmsweise anzuordnen, wenn sich dies zur Wahrheitsfindung aufdrängt (Urteil 1B_568/2012 vom 31. Oktober 2012 E. 3.2).</w:t>
      </w:r>
    </w:p>
    <w:p>
      <w:r>
        <w:t>Inwiefern hier die Anhörung des Beschwerdeführers zur Wahrheitsfindung hätte erforderlich sein sollen, ist nicht erkennbar. Der Beschwerdeführer bringt vor, er hätte dem Zwangsmassnahmengericht darlegen können, dass er nunmehr bereit sei, in einer Psychotherapie auch an den von den psychiatrischen Sachverständigen festgestellten ungünstigen Persönlichkeitsanteilen zu arbeiten. Dies konnte er dem Zwangsmassnahmengericht jedoch auch schriftlich mitteilen. Eine Verletzung des Anspruchs auf rechtliches Gehör durch das Zwangsmassnahmengericht ist daher zu verneinen.</w:t>
      </w:r>
    </w:p>
    <w:p>
      <w:r>
        <w:t>Selbst wenn es sich anders verhalten hätte, hätte das dem Beschwerdeführer nicht geholfen. Eine Verletzung des rechtlichen Gehörs hätte jedenfalls nicht als besonders schwer angesehen werden können, weshalb der Verfahrensmangel im Beschwerdeverfahren vor Vorinstanz, welche über freie Kognition verfügte ( Art. 393 Abs. 2 StPO ), geheilt worden wäre ( BGE 137 I 195 E. 2.3.2 S. 197 f. mit Hinweisen).</w:t>
      </w:r>
    </w:p>
    <w:p>
      <w:r>
        <w:t>Die Beschwerde ist demnach im vorliegenden Punkt unbegründet.</w:t>
      </w:r>
    </w:p>
    <w:p>
      <w:r>
        <w:rPr>
          <w:b/>
        </w:rPr>
        <w:t>E. 3.1</w:t>
      </w:r>
    </w:p>
    <w:p>
      <w:r>
        <w:t>Gemäss Art. 221 StPO sind Untersuchungs- und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w:t>
      </w:r>
    </w:p>
    <w:p>
      <w:r>
        <w:t>Der Beschwerdeführer anerkennt den dringenden Tatverdacht. Er macht geltend, es bestehe weder Wiederholungs- noch Ausführungsgefahr.</w:t>
      </w:r>
    </w:p>
    <w:p>
      <w:r>
        <w:rPr>
          <w:b/>
        </w:rPr>
        <w:t>E. 3.2</w:t>
      </w:r>
    </w:p>
    <w:p>
      <w:r>
        <w:t>Nach der Rechtsprechung kann die Anordnung von Untersuchungs- oder Sicherheitshaft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Die Aufrechterhaltung von Haft wegen Wiederholungsgefahr ist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w:t>
      </w:r>
    </w:p>
    <w:p>
      <w:r>
        <w:t>Bei den Anforderungen an die Rückfallgefahr besteht eine umgekehrte Proportionalität.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w:t>
      </w:r>
    </w:p>
    <w:p>
      <w:r>
        <w:t>Art. 221 Abs. 1 lit. c StPO ist entgegen dem deutschsprachigen Gesetzeswortlaut dahin auszulegen, dass "Verbrechen oder schwere Vergehen" drohen müssen.</w:t>
      </w:r>
    </w:p>
    <w:p>
      <w:r>
        <w:t>Art. 221 Abs. 1 lit. c StPO verlangt,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w:t>
      </w:r>
    </w:p>
    <w:p>
      <w:r>
        <w:t>Unter Umständen kann Wiederholungsgefahr auch angenommen werden, wenn lediglich eine Vortat besteht. Erweisen sich die Risiken für mögliche Opfer als untragbar hoch, kann vom Vortatenerfordernis sogar ganz abgesehen werden ( BGE 143 IV 9 E. 2 S. 11 ff. mit Hinweisen; Urteil 1B_133/2011 vom 12. April 2011, publ. in: SJ 2011 I 484, E. 4.7).</w:t>
      </w:r>
    </w:p>
    <w:p>
      <w:r>
        <w:rPr>
          <w:b/>
        </w:rPr>
        <w:t>E. 3.3</w:t>
      </w:r>
    </w:p>
    <w:p>
      <w:r>
        <w:t>Der Beschwerdeführer ist geständig, am 18. Juli 2017 seiner damaligen Lebenspartnerin mehrmals mit einem Hammer auf den Kopf geschlagen zu haben. Sie erlitt Verletzungen, welche im Spital notfallmässig behandelt werden mussten und die Sachverständigen des Instituts für Rechtsmedizin als potentiell lebensgefährlich einstuften. Die Staatsanwaltschaft wirft dem Beschwerdeführer versuchte vorsätzliche Tötung vor. Im Jahr 2010 verurteilte ihn das Bundesstrafgericht wegen Veruntreuung und Urkundenfälschung im Amt zu einer bedingten Freiheitsstrafe von zwei Jahren. Zudem weist er Vorstrafen wegen Vergehen gegen das Strassenverkehrsgesetz auf. Wegen Gewaltdelikten ist er nicht vorbestraft. Der nunmehr angeklagte Vorfall vom 18. Juli 2017 ist jedoch als Vortat zu berücksichtigen, da der Beschwerdeführer insoweit, was den äusseren Tathergang betrifft, ein glaubhaftes Geständnis abgelegt hat. Nach der angeführten Rechtsprechung steht der Umstand, dass eine einzige einschlägige Vortat besteht, der Annahme von Wiederholungsgefahr nicht entgegen. Entscheidend ist die Rückfallgefahr.</w:t>
      </w:r>
    </w:p>
    <w:p>
      <w:r>
        <w:t>Am 29. November 2017 erstatteten Dr. B.________ und Dr. C.________ ein psychiatrisches Gutachten über den Beschwerdeführer, welcher sich vor seiner Verhaftung zweimal wegen Depressionen in längerer stationärer psychiatrischer Behandlung befunden hatte. Die Gutachter gehen für den Tatzeitpunkt von einer inzwischen weitgehend remittierten mittelschweren depressiven Episode ohne somatisches Syndrom im Rahmen einer rezidivierenden depressiven Störung aus. Überdies diagnostizieren sie eine vor allem narzisstische Akzentuierung von Persönlichkeitszügen. Die Gutachter kommen zum Schluss, beim Beschwerdeführer sei von einer im Vergleich zur Population der Gewalttäter unterdurchschnittlichen Rückfallrate von 10-25 % in einem Zeitraum von 5-10 Jahren auszugehen, d.h. eine bis vier von zehn Personen mit gleichen Persönlichkeitsmerkmalen und demselben Lebenslauf würden innerhalb von 5-10 Jahren mit einer Gewalttat rückfällig. Dabei sei besonders zu berücksichtigen, dass innerhalb von Paarkonstellationen beim Beschwerdeführer eine deutlich höhere Rezidivwahrscheinlichkeit als bei der genannten Basisrate zu erwarten sei. Dies bedeute auch, dass zeitnah und solange keine (neue) Partnerschaft bestehe, nur mit einer sehr geringen Rezidivwahrscheinlichkeit zu rechnen sei. Sobald es aber zu einer (neuen) Partnerschaft käme, würde die Rezidivwahrscheinlichkeit deutlich ansteigen. Für Gewalttaten im Rahmen von Partnerschaftskonflikten sei von einer deutlich erhöhten Rückfallgefahr auszugehen.</w:t>
      </w:r>
    </w:p>
    <w:p>
      <w:r>
        <w:t>Wie sich dem Gutachten entnehmen lässt, hatte der Beschwerdeführer ab dem Alter von 13 Jahren eine Freundin (seine spätere Ehefrau) und jedenfalls ab dem Jahr 2000 praktisch ununterbrochen eine Lebenspartnerin. Das Opfer des Vorfalls vom 18. Juli 2017 lernte er auf einer Internet-Dating-Seite kennen. Dies legt die Annahme nahe, dass der Beschwerdeführer, dessen sozialen Empfangsraum die Gutachter als stark belastet bezeichnen, bei einer Haftentlassung bald wieder eine neue Partnerschaft eingehen würde. Nicht auszuschliessen ist auch, dass er erneut mit dem Opfer in Kontakt treten würde, bedrängte er dieses doch auch noch, nachdem es ihm klar mitgeteilt hatte, dass es die Beziehung mit ihm beenden wolle. Von der Möglichkeit einer neuerlichen Kontaktnahme mit dem Opfer gehen auch die Gutachter aus. Bei einer (neuen) Partnerschaft ist die Rückfallgefahr aufgrund der gutachterlichen Darlegungen aber als beträchtlich einzustufen.</w:t>
      </w:r>
    </w:p>
    <w:p>
      <w:r>
        <w:t>Da es hier um den Schutz von Leib und Leben und damit des höchsten Rechtsguts geht, sind nach der angeführten Rechtsprechung an die Rückfallgefahr entsprechend geringere Anforderungen zu stellen. Berücksichtigt man dies, hält es unter den dargelegten Umständen vor Bundesrecht stand, wenn die Vorinstanz Wiederholungsgefahr bejaht hat. Da ein einziger Haftgrund für die Inhaftierung genügt, kann offenbleiben, ob zusätzlich Ausführungsgefahr gegeben sei.</w:t>
      </w:r>
    </w:p>
    <w:p>
      <w:r>
        <w:t>Die Beschwerde ist auch insoweit unbegründet.</w:t>
      </w:r>
    </w:p>
    <w:p>
      <w:r>
        <w:rPr>
          <w:b/>
        </w:rPr>
        <w:t>E. 4.1</w:t>
      </w:r>
    </w:p>
    <w:p>
      <w:r>
        <w:t>Der Beschwerdeführer bringt vor, eine ambulante Therapie und ein Kontaktverbot genügten zur Bannung von Wiederholungsgefahr. Die Sicherheitshaft sei daher unverhältnismässig.</w:t>
      </w:r>
    </w:p>
    <w:p>
      <w:r>
        <w:rPr>
          <w:b/>
        </w:rPr>
        <w:t>E. 4.2</w:t>
      </w:r>
    </w:p>
    <w:p>
      <w:r>
        <w:t>Die Gutachter führen aus, es gebe sowohl für die depressive Störung des Beschwerdeführers als auch dessen Persönlichkeitsakzentuierung gut etablierte Behandlungen. Es sei zu erwarten, dass eine erfolgreiche Behandlung der depressiven Störung und der Persönlichkeitsakzentuierung, insbesondere deren narzisstischer Anteile, die Gefahr neuer Straf- bzw. Gewalttaten senken würde. Die Behandlung sollte eine längerfristige kombinierte medikamentöse und intensive psychotherapeutische Behandlung umfassen.</w:t>
      </w:r>
    </w:p>
    <w:p>
      <w:r>
        <w:t>Erachten die Gutachter demnach eine</w:t>
      </w:r>
    </w:p>
    <w:p>
      <w:r>
        <w:t>längerfristige und</w:t>
      </w:r>
    </w:p>
    <w:p>
      <w:r>
        <w:t>intensive Behandlung des Beschwerdeführers als notwendig, dürfen davon keine raschen Erfolge erwartet werden. Mit Blick darauf kann eine ambulante Therapie nicht als genügend angesehen werden, um zum jetzigen Zeitpunkt mögliche Opfer wirksam zu schützen.</w:t>
      </w:r>
    </w:p>
    <w:p>
      <w:r>
        <w:t>Ein Kontaktverbot könnte nur gegenüber dem Opfer des Vorfalls vom 18. Juli 2017 angeordnet werden. Dass sich der Beschwerdeführer an ein solches Verbot halten würde, kann aufgrund seines erwähnten Verhaltens gegenüber dem Opfer nicht angenommen werden.</w:t>
      </w:r>
    </w:p>
    <w:p>
      <w:r>
        <w:t>Dass sonstige mildere Ersatzmassnahmen zur Verfügung stünden, macht der Beschwerdeführer nicht geltend und ist nicht ersichtlich. Die Haft ist damit verhältnismässig.</w:t>
      </w:r>
    </w:p>
    <w:p>
      <w:r>
        <w:rPr>
          <w:b/>
        </w:rPr>
        <w:t>E. 5</w:t>
      </w:r>
    </w:p>
    <w:p>
      <w:r>
        <w:t>Die Beschwerde ist abzuweisen.</w:t>
      </w:r>
    </w:p>
    <w:p>
      <w:r>
        <w:t>Die Mittellosigkeit des Beschwerdeführers kann angenommen werden. Da die Sicherheitshaft einen schweren Eingriff in die persönliche Freiheit darstellt, konnte er sich zur Beschwerde veranlasst sehen. Die unentgeltliche Rechtspflege und Verbeiständung nach Art. 64 BGG wird daher bewilligt. Es werden keine Gerichtskosten erhoben und der Anwältin des Beschwerdeführers wird eine Entschädigung ausgerichtet. Diese wird auf pauschal Fr. 2'000.--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