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83/2021 vom 19. Februar 2021</w:t>
      </w:r>
    </w:p>
    <w:p>
      <w:r>
        <w:t>Bundesgericht, 2021-02-19, DE</w:t>
      </w:r>
    </w:p>
    <w:p>
      <w:r>
        <w:rPr>
          <w:b/>
        </w:rPr>
        <w:t xml:space="preserve">Quelle: </w:t>
      </w:r>
      <w:r>
        <w:t>https://mcp.opencaselaw.ch/entscheid/bger_1B_83_2021</w:t>
      </w:r>
    </w:p>
    <w:p>
      <w:r>
        <w:t>FR: TF 1B 83/2021 du 19 février 2021</w:t>
      </w:r>
    </w:p>
    <w:p>
      <w:r>
        <w:t>IT: TF 1B 83/2021 del 19 febbraio 2021</w:t>
      </w:r>
    </w:p>
    <w:p>
      <w:pPr>
        <w:pStyle w:val="Heading2"/>
      </w:pPr>
      <w:r>
        <w:t>Regeste</w:t>
      </w:r>
    </w:p>
    <w:p>
      <w:r>
        <w:t>Strafverfahren; Kosten | Strafprozess</w:t>
      </w:r>
    </w:p>
    <w:p>
      <w:pPr>
        <w:pStyle w:val="Heading2"/>
      </w:pPr>
      <w:r>
        <w:t>Erwägungen</w:t>
      </w:r>
    </w:p>
    <w:p>
      <w:r>
        <w:rPr>
          <w:b/>
        </w:rPr>
        <w:t>E. 1</w:t>
      </w:r>
    </w:p>
    <w:p>
      <w:r>
        <w:t>A.________ ersuchte mit Eingabe vom 24. Januar 2021 um Erlass der ihm mit Beschlüssen des Obergerichts des Kantons Bern vom 3. Juni 2020 (BK 20 220) und 20. Juli 2020 (BK 20 263) auferlegten Verfahrenskosten von je Fr. 800.--. Eventualiter ersuchte er um Stundung der Verfahrenskosten. Die Beschwerdekammer in Strafsachen des Obergerichts des Kantons Bern trat mit Verfügung vom 1. Februar 2021 auf das Gesuch nicht ein. Zur Begründung führte die Beschwerdekammer in Strafsachen zusammenfassend aus, sie sei bereits mit Verfügungen vom 14. Oktober 2020 und 11. Dezember 2020 auf Erlass-/Stundungsgesuche betreffend die Beschlüsse BK 20 220 und BK 20 263 mangels Rechtsschutzinteresses nicht eingetreten. Die in diesen Verfügungen gemachten Ausführungen hätten nach wie vor Geltung. Der Gesuchsteller habe es erneut unterlassen, seine finanzielle Situation genügend zu belegen. Da er erneut ein klar ungenügend begründetes und unbelegtes Erlassgesuch eingereicht habe, sei ihm ein rechtlich geschütztes Interesse an einem Entscheid abzusprechen. Im Übrigen könnten die ursprünglichen Beschlüsse der Beschwerdekammer in Strafsachen resp. der Staatsanwaltschaft mit einem Erlass-/Stundungsgesuch nicht mehr einer Überprüfung zugänglich gemacht werden.</w:t>
      </w:r>
    </w:p>
    <w:p>
      <w:r>
        <w:rPr>
          <w:b/>
        </w:rPr>
        <w:t>E. 2</w:t>
      </w:r>
    </w:p>
    <w:p>
      <w:r>
        <w:t>A.________ führt mit Eingabe vom 14. Februar 2021 Beschwerde in Strafsachen gegen die Verfügung der Beschwerdekammer in Strafsachen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setzt sich überhaupt nicht mit der Begründung der Beschwerdekammer in Strafsachen auseinander, die zum Nichteintreten auf sein Gesuch führte. Aus seinen nicht sachbezogenen Ausführungen ergibt sich nicht nachvollziehbar, inwiefern die Begründung der Beschwerdekammer in Strafsachen bzw. deren Verfügung selbst rechts- bzw. verfassungswidrig sein soll. Die Beschwerde genügt den gesetzlichen Formerfordernissen offensichtlich nicht, weshalb auf sie im vereinfachten Verfahren nach Art. 108 Abs.1 BGG nicht einzutreten ist.</w:t>
      </w:r>
    </w:p>
    <w:p>
      <w:r>
        <w:rPr>
          <w:b/>
        </w:rPr>
        <w:t>E. 4</w:t>
      </w:r>
    </w:p>
    <w:p>
      <w:r>
        <w:t>Ausnahmsweise kann von der Erhebung von Gerichtskosten abgesehen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