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1B_82/2015 vom 30. Juni 2015</w:t>
      </w:r>
    </w:p>
    <w:p>
      <w:r>
        <w:t>Bundesgericht, 2015-06-30, DE</w:t>
      </w:r>
    </w:p>
    <w:p>
      <w:r>
        <w:rPr>
          <w:b/>
        </w:rPr>
        <w:t xml:space="preserve">Quelle: </w:t>
      </w:r>
      <w:r>
        <w:t>https://mcp.opencaselaw.ch/entscheid/bger_1B_82_2015</w:t>
      </w:r>
    </w:p>
    <w:p>
      <w:r>
        <w:t>FR: TF 1B_82/2015 du 30 juin 2015</w:t>
      </w:r>
    </w:p>
    <w:p>
      <w:r>
        <w:t>IT: TF 1B_82/2015 del 30 giugno 2015</w:t>
      </w:r>
    </w:p>
    <w:p>
      <w:pPr>
        <w:pStyle w:val="Heading2"/>
      </w:pPr>
      <w:r>
        <w:t>Erwägungen</w:t>
      </w:r>
    </w:p>
    <w:p>
      <w:r>
        <w:rPr>
          <w:b/>
        </w:rPr>
        <w:t>E. 1.1</w:t>
      </w:r>
    </w:p>
    <w:p>
      <w:r>
        <w:t>Beim angefochtenen Beschluss über den Ausstand eines Experten und seiner Mitarbeitenden im Strafverfahren handelt es sich um einen selbständig anfechtbaren, kantonal letztinstanzlichen (vgl. Art. 59 Abs. 1 lit. b StPO ) Zwischenentscheid, gegen den gemäss Art. 78 ff. in Verbindung mit Art. 92 BGG die Beschwerde in Strafsachen an das Bundesgericht offen steht.</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w:t>
      </w:r>
    </w:p>
    <w:p>
      <w:r>
        <w:t>Art. 183 Abs. 3 StPO verweist für den Ausstand von Sachverständigen auf Art. 56 StPO . Diese Bestimmung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Für Sachverständige gilt Art. 30 Abs. 1 BV zwar nicht, doch lassen sich dafür analoge Rechtswirkungen aus Art. 29 Abs. 1 BV ableiten ( BGE 127 I 196 E. 2b S. 198; Urteil des Bundesgerichts 1B_488/2011 vom 1. Dezember 2011 E. 3.1).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(vgl. das Urteil des Bundesgerichts 1B_170/2012 vom 19. Juni 2012 E. 4.2).</w:t>
      </w:r>
    </w:p>
    <w:p>
      <w:r>
        <w:rPr>
          <w:b/>
        </w:rPr>
        <w:t>E. 3.1</w:t>
      </w:r>
    </w:p>
    <w:p>
      <w:r>
        <w:t>Die beschuldigte Person kann bei der Staatsanwaltschaft oder der Verfahrensleitung jederzeit schriftlich oder mündlich zu Protokoll ein Gesuch um Haftentlassung stellen (vgl. Art. 228 und 233 StPO ). Nach Art. 91 Abs. 4 StPO leitet eine nicht zuständige schweizerische Behörde bei ihr eingereichte Eingaben in Strafsachen unverzüglich an die zuständige Strafbehörde weiter. Gemäss Art. 182 StPO ziehen Staatsanwaltschaft und Gerichte eine oder mehrere sachverständige Personen bei, wenn sie nicht über die besonderen Kenntnisse und Fähigkeiten verfügen, die zur Feststellung oder Beurteilung eines Sachverhalts erforderlich sind. Als Sachverständige können nach Art. 183 Abs. 1 StPO natürliche Personen ernannt werden, die auf dem betreffenden Fachgebiet die erforderlichen besonderen Kenntnisse und Fähigkeiten besitzen. Die Verfahrensleitung ernennt die sachverständige Person und erteilt ihr einen schriftlichen Auftrag ( Art. 184 Abs. 1 und 2 StPO ).</w:t>
      </w:r>
    </w:p>
    <w:p>
      <w:r>
        <w:rPr>
          <w:b/>
        </w:rPr>
        <w:t>E. 3.2</w:t>
      </w:r>
    </w:p>
    <w:p>
      <w:r>
        <w:t>Zunächst ist unklar, ob der Beschwerdeführer überhaupt ein eigentliches Haftentlassungsgesuch gestellt hat. Nach seiner eigenen Darstellung in der Beschwerdeschrift verlangte er beim Sachverständigen schriftlich seine sofortige Entlassung, weil ihm dies zustehe, da er rechtlich in allen Punkten unschuldig sei. Dass der für eine Haftentlassung offensichtlich unzuständige Experte darin im Rahmen seines Gutachtensauftrags vor allem ein Unschuldsbekenntnis und nicht ein eigentliches Gesuch um Freilassung sah, erscheint nachvollziehbar; dies hat hier umso mehr zu gelten, als es bereits ein erstinstanzliches Teilurteil vom 11. Dezember 2013 gibt, worin gerichtlich festgestellt ist, dass der Beschwerdeführer die ihm vorgeworfene Handlung vom 7. Januar 2009 begangen hat. Wie es sich damit verhält, kann aber offen bleiben. Als Behörde mit der Pflicht zur unverzüglichen Weiterleitung von Eingaben im Sinne von Art. 91 Abs. 4 StPO gelten nämlich allein die Strafbehörden gemäss Art. 12 ff. StPO sowie Gerichts- und Verwaltungsbehörden des Bundes, der Kantone und der Gemeinden (vgl. CHRISTOF RIEDO, in: Niggli/Heer/Wiprächtiger [Hrsg.], Basler Kommentar, Schweizerische Strafprozessordnung/Jugendstrafprozessordnung, 2. Aufl., 2014, Art. 91 N. 45 f.). Ein nach Art. 182 ff. StPO beigezogener Sachverständiger steht jedoch lediglich in einem vertraglichen Auftragsverhältnis zu den Strafverfolgungsbehörden und wird dadurch nicht zu deren direktem Mitarbeiter. Der Sachverständige ist daher nicht unmittelbar gestützt auf Art. 91 Abs. 4 StPO zur Weiterleitung von bei ihm eingereichten Eingaben verpflichtet. Wieweit sich eine analoge Pflicht allenfalls aus dem Vertragsverhältnis ergeben kann und ob dies als Grundlage dafür genügt, dass sich der betroffene Einleger, der das fragliche Schriftstück dem Sachverständigen zugestellt hat, darauf berufen kann, ist allerdings unklar, kann hier aber ebenfalls offen bleiben.</w:t>
      </w:r>
    </w:p>
    <w:p>
      <w:r>
        <w:rPr>
          <w:b/>
        </w:rPr>
        <w:t>E. 3.3</w:t>
      </w:r>
    </w:p>
    <w:p>
      <w:r>
        <w:t>Selbst wenn hier der Sachverständige eine einmalige Pflichtverletzung begangen hätte, indem er das Schreiben des Beschwerdeführers nicht weiterleitete, würde darin weder ein wiederholter noch ein besonders krasser Rechtsfehler liegen. Eine derartige Pflichtverletzung wäre daher für sich allein von vornherein ungeeignet, den Anschein von Befangenheit zu begründen. Andere Gründe für Voreingenommenheit macht der Beschwerdeführer nicht nachvollziehbar geltend. Der angefochtene Entscheid verstösst demnach nicht gegen Bundesrecht und insbesondere Art. 56 StPO .</w:t>
      </w:r>
    </w:p>
    <w:p>
      <w:r>
        <w:rPr>
          <w:b/>
        </w:rPr>
        <w:t>E. 4.1</w:t>
      </w:r>
    </w:p>
    <w:p>
      <w:r>
        <w:t>Die Beschwerde erweist sich als offensichtlich unbegründet und ist abzuweisen.</w:t>
      </w:r>
    </w:p>
    <w:p>
      <w:r>
        <w:rPr>
          <w:b/>
        </w:rPr>
        <w:t>E. 4.2</w:t>
      </w:r>
    </w:p>
    <w:p>
      <w:r>
        <w:t>Da die Rechtsbegehren des unterliegenden Beschwerdeführers von vornherein aussichtslos erscheinen, ist sein Gesuch um unentgeltliche Rechtspflege und Verbeiständung abzuweisen (vgl. Art. 64 BGG ). Damit sind ihm die Gerichtskosten des bundesgerichtlichen Verfahrens aufzuerlegen ( Art. 66 Abs. 1 und Art. 65 BGG ). Eine Parteientschädigung ist nicht zuzusprechen (vgl. Art. 68 BGG ).</w:t>
      </w:r>
    </w:p>
    <w:p>
      <w:r>
        <w:rPr>
          <w:b/>
        </w:rPr>
        <w:t>E. 4.3</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