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82/2008 vom 7. April 2008</w:t>
      </w:r>
    </w:p>
    <w:p>
      <w:r>
        <w:t>Bundesgericht, 2008-04-07, FR</w:t>
      </w:r>
    </w:p>
    <w:p>
      <w:r>
        <w:rPr>
          <w:b/>
        </w:rPr>
        <w:t xml:space="preserve">Quelle: </w:t>
      </w:r>
      <w:r>
        <w:t>https://mcp.opencaselaw.ch/entscheid/bger_1B_82_2008</w:t>
      </w:r>
    </w:p>
    <w:p>
      <w:r>
        <w:t>FR: TF 1B 82/2008 du 7 avril 2008</w:t>
      </w:r>
    </w:p>
    <w:p>
      <w:r>
        <w:t>IT: TF 1B 82/2008 del 7 aprile 2008</w:t>
      </w:r>
    </w:p>
    <w:p>
      <w:pPr>
        <w:pStyle w:val="Heading2"/>
      </w:pPr>
      <w:r>
        <w:t>Regeste</w:t>
      </w:r>
    </w:p>
    <w:p>
      <w:r>
        <w:t>demande de mise en liberté | Procédure pénale</w:t>
      </w:r>
    </w:p>
    <w:p>
      <w:pPr>
        <w:pStyle w:val="Heading2"/>
      </w:pPr>
      <w:r>
        <w:t>Erwägungen</w:t>
      </w:r>
    </w:p>
    <w:p>
      <w:r>
        <w:rPr>
          <w:b/>
        </w:rPr>
        <w:t>E. 1</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 ATF 133 I 270 consid. 1.1 p. 273; IV 335 consid. 2 p. 337; Message concernant la révision totale de l'organisation judiciaire fédérale du 28 février 2001, FF 2001 p. 4111). Pour le surplus,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de l'arbitraire ( ATF 123 I 268 consid. 2d p. 271). L'autorité cantonale dispose ainsi d'une grande liberté dans l'appréciation des faits ( ATF 114 Ia 283 consid. 3; 112 Ia 162 consid. 3b).</w:t>
      </w:r>
    </w:p>
    <w:p>
      <w:r>
        <w:rPr>
          <w:b/>
        </w:rPr>
        <w:t>E. 3</w:t>
      </w:r>
    </w:p>
    <w:p>
      <w:r>
        <w:t>En l'espèce, le recourant ne conteste pas la base légale de son maintien en détention. Avec raison, il ne remet pas non plus en cause la présence de charges suffisantes à son encontre. Il nie en revanche l'existence d'un risque de fuite.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ce risque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Lorsqu'elle admet l'existence d'un risque de fuite, l'autorité doit en outre examiner s'il ne peut être contenu par une mesure moins rigoureuse, tel que le versement d'une caution, le dépôt des pièces d'identité ou l'obligation de se présenter régulièrement à un office déterminé ( ATF 125 I 60 consid. 3a p. 62; 123 I 268 consid. 2c p. 271; 108 Ia 64 consid. 3 p. 67; 102 Ia 379 consid. 2a p. 381 et les arrêts cités).</w:t>
      </w:r>
    </w:p>
    <w:p>
      <w:r>
        <w:rPr>
          <w:b/>
        </w:rPr>
        <w:t>E. 3.2</w:t>
      </w:r>
    </w:p>
    <w:p>
      <w:r>
        <w:t>La Cour de cassation pénale a relevé que la demande d'asile du recourant avait été définitivement rejetée et qu'il se trouvait dès lors en situation irrégulière en Suisse, où il n'avait par ailleurs aucune attache familiale ou autre. Vu la perspective de ce dernier de subir de nombreux mois de détention, elle a donc admis l'existence d'un risque de fuite. Pour le surplus, elle a indiqué que le recourant ne mentionnait aucune alternative possible à la détention et qu'elle n'en discernait elle-même aucune. Le recourant rétorque qu'en demandant l'asile, il a au contraire manifesté le désir de rester en Suisse. Il y était demeuré malgré le rejet de sa demande. Il estime au surplus qu'une mesure alternative aurait dû être prononcée: de deux choses l'une, ou bien il ne disposait pas de pièces d'identité et il ne pouvait pas quitter la Suisse, ou il en avait et ces documents pouvaient être séquestrés. Le recourant ne conteste pas que sa demande d'asile a été définitivement rejetée et qu'il n'a pas d'attaches en Suisse. Le fait qu'il ait démontré la volonté de séjourner en Suisse n'est pas relevant dans la mesure où ce séjour était illégal. Par ailleurs, convoqué par le Service de la population pour organiser son départ, le recourant ne s'est - à plusieurs reprises - pas présenté. Il a même, selon les termes du service, "disparu". Dans ces conditions, le risque que le recourant ne quitte le pays ou ne disparaisse dans la clandestinité ne peut pas être nié. On rappellera encore que malgré une due convocation, c'est sans excuse que ce dernier ne s'est pas présenté à son audience de jugement, au cours de laquelle sa condamnation a été prononcée par défaut. Enfin, l'argumentation du recourant relative aux mesures alternatives confine à la témérité. Il appartient en effet à ce dernier d'indiquer clairement s'il possède ou non des papiers. Il ne saurait être procédé sur la base de pures hypothèses. Au demeurant, le moyen est mal fondé. En effet, l'absence de papiers n'empêcherait en rien la fuite du recourant. Au contraire, elle favoriserait également la clandestinité de ce dernier. Par ailleurs, il est pour le moins douteux, au vu des circonstances du cas d'espèce, que la saisie des documents d'identité du recourant empêcherait sa fuite ou sa disparition. Au vu de ce qui précède, il faut considérer que c'est à bon droit que la Cour de cassation pénale a retenu l'existence d'un risque de fuite.</w:t>
      </w:r>
    </w:p>
    <w:p>
      <w:r>
        <w:rPr>
          <w:b/>
        </w:rPr>
        <w:t>E. 4</w:t>
      </w:r>
    </w:p>
    <w:p>
      <w:r>
        <w:t>Le recourant fait encore valoir qu'une détention de plus de seize mois serait contraire au principe de la proportionnalité, ce d'autant plus qu'il devrait pouvoir bénéficier d'un sursis ou d'une libération conditionnelle.</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(cf. ATF 124 I 208 consid. 6 p. 215; 116 Ia 143 consid. 5a p. 147; 107 Ia 256 consid. 2b p. 259). Selon la jurisprudence concordante du Tribunal fédéral et de la Cour européenne des droits de l'homme, la proportionnalité de la durée de la détention doit être examinée au regard de l'ensemble des circonstance concrètes du cas d'espèce ( ATF 132 I 21 consid. 4.1 p. 28; 124 I 208 consid. 6 p. 215; 123 I 268 consid. 3a p. 273 et les références). La possibilité d'une libération conditionnelle n'a en principe pas à être prise en compte pour juger de la proportionnalité de la détention préventive.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(cf. art. 38 ch. 1 al. 1 aCP; art. 86 al. 1 CP ). Il n'y a d'exception à cette règle que si une appréciation des circonstances concrètes permet d'aboutir d'emblée à la conclusion que les conditions de la libération conditionnelle sont réalisées; tel est en particulier le cas si le prévenu, après avoir été condamné en première instance, est en détention préventive en attendant l'issue du recours qu'il a formé contre sa condamnation (cf. arrêt 1P.27/2007 du 26 janvier 2007 consid. 3.5.2 et les arrêts cités). Ce raisonnement vaut, mutatis mutandis, en ce qui concerne la possibilité d'un éventuel sursis ( ATF 125 I 60 consid. 3d p. 64; 124 I 208 consid. 6 p. 215).</w:t>
      </w:r>
    </w:p>
    <w:p>
      <w:r>
        <w:rPr>
          <w:b/>
        </w:rPr>
        <w:t>E. 4.2</w:t>
      </w:r>
    </w:p>
    <w:p>
      <w:r>
        <w:t>En l'occurrence, la Cour de cassation pénale a estimé que la réduction de peine dont devrait bénéficier le recourant ne devrait vraisemblablement pas dépasser un tiers. Elle en a déduit qu'un nouveau jugement au fond devrait intervenir bien avant que la durée de la détention subie - soit environ seize mois - ne se rapproche trop de la peine qui devrait en définitive être infligée. Le recourant ne conteste pas l'estimation de la Cour de cassation pénale quant à l'ampleur de l'atténuation de sa peine. Il fait cependant valoir qu'une telle réduction ouvrirait la problématique du sursis partiel. Malgré une condamnation figurant à son casier judiciaire, il pouvait espérer obtenir un tel sursis. Enfin, son comportement en détention ayant été irréprochable, rien ne s'opposait par ailleurs à sa libération conditionnelle.</w:t>
      </w:r>
    </w:p>
    <w:p>
      <w:r>
        <w:rPr>
          <w:b/>
        </w:rPr>
        <w:t>E. 4.3</w:t>
      </w:r>
    </w:p>
    <w:p>
      <w:r>
        <w:t>Comme l'a relevé la Cour de cassation pénale et sans être réellement contredite par le recourant sur ce point, il apparaît que même en prenant en considération la réduction de peine annoncée, le recourant n'a pas encore subi les deux tiers de cette dernière. Dans ces conditions, toute référence à la possibilité d'une libération conditionnelle est prématurée. Par ailleurs, il n'est certes pas exclu que la question du sursis partiel se pose vu la diminution de peine attendue. Cela étant, il est loin d'être évident que le recourant en remplisse les conditions. En effet, ainsi que cela avait été relevé par le Tribunal d'arrondissement, les infractions en cause ont principalement été commises durant le délai d'épreuve qui avait été accordé au recourant le 8 avril 2004. En outre, ce dernier s'est fait interpeller en possession de marijuana alors qu'il avait à ce moment déjà déposé une demande de relief à l'encontre du jugement le condamnant à une lourde peine. Il apparaît par conséquent que les circonstances concrètes ne permettent pas d'aboutir d'emblée à la conclusion que les conditions du sursis partiel sont réalisées (cf. consid. 4.1 ci-dessus). Il résulte de ce qui précède que la Cour de cassation pénale a correctement nié une violation du principe de la proportionnalité.</w:t>
      </w:r>
    </w:p>
    <w:p>
      <w:r>
        <w:rPr>
          <w:b/>
        </w:rPr>
        <w:t>E. 5</w:t>
      </w:r>
    </w:p>
    <w:p>
      <w:r>
        <w:t>Il s'ensuit que le recours doit être rejeté. Les conditions de l' art. 64 LTF étant réunies, il convient de faire droit à la demande d'assistance judiciaire et de statuer sans frais; Me Jean Lob est désigné comme défenseur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