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1B_80/2015 vom 30. Juni 2015</w:t>
      </w:r>
    </w:p>
    <w:p>
      <w:r>
        <w:t>Bundesgericht, 2015-06-30, DE</w:t>
      </w:r>
    </w:p>
    <w:p>
      <w:r>
        <w:rPr>
          <w:b/>
        </w:rPr>
        <w:t xml:space="preserve">Quelle: </w:t>
      </w:r>
      <w:r>
        <w:t>https://mcp.opencaselaw.ch/entscheid/bger_1B_80_2015</w:t>
      </w:r>
    </w:p>
    <w:p>
      <w:r>
        <w:t>FR: TF 1B_80/2015 du 30 juin 2015</w:t>
      </w:r>
    </w:p>
    <w:p>
      <w:r>
        <w:t>IT: TF 1B_80/2015 del 30 giugno 2015</w:t>
      </w:r>
    </w:p>
    <w:p>
      <w:pPr>
        <w:pStyle w:val="Heading2"/>
      </w:pPr>
      <w:r>
        <w:t>Erwägungen</w:t>
      </w:r>
    </w:p>
    <w:p>
      <w:r>
        <w:rPr>
          <w:b/>
        </w:rPr>
        <w:t>E. 1.1</w:t>
      </w:r>
    </w:p>
    <w:p>
      <w:r>
        <w:t>Beim angefochtenen Beschluss des Obergerichts des Kantons Zürich über den Ausstand von drei Mitgliedern des Bezirksgerichts Affoltern handelt es sich um einen selbständig anfechtbaren, kantonal letztinstanzlichen (vgl. Art. 59 Abs. 1 lit. b StPO ) Zwischenentscheid, gegen den gemäss Art. 78 ff. in Verbindung mit Art. 92 BGG die Beschwerde in Strafsachen an das Bundesgericht offen steht.</w:t>
      </w:r>
    </w:p>
    <w:p>
      <w:r>
        <w:rPr>
          <w:b/>
        </w:rPr>
        <w:t>E. 1.2</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vgl. auch Art. 106 Abs. 2 BGG ).</w:t>
      </w:r>
    </w:p>
    <w:p>
      <w:r>
        <w:rPr>
          <w:b/>
        </w:rPr>
        <w:t>E. 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Bei der Anwendung von Art. 56 lit. f StPO ist entscheidendes Kriterium, ob bei objektiver Betrachtungsweise der Ausgang des Verfahrens noch als offen erscheint. Die Mehrfachbefassung mit derselben Angelegenheit, nicht zuletzt im Zusammenhang mit einem prozessualen Zwischenentscheid, genügt dafür ebenfalls nicht, solange das Verfahren noch als offen erscheint (vgl. das Urteil des Bundesgerichts 1B_170/2012 vom 19. Juni 2012 E. 4.2). Nach der bundesgerichtlichen Rechtsprechung erscheint es insbesondere heikel, wenn verschiedene Teilnehmer einer gleichen Straftat durch dasselbe Richtergremium beurteilt werden, nachdem dieses bereits einmal in der Sache entschieden hat. Ausschlaggebend dafür, ob ein Schuldvorwurf wegen der Beurteilung eines Mitbeschuldigten in einem separaten Verfahren als nicht mehr offen gilt, sind jedoch die konkreten Umstände (vgl. das Urteil des Bundesgerichts 1P.648/2002 vom 4. März 2003).</w:t>
      </w:r>
    </w:p>
    <w:p>
      <w:r>
        <w:rPr>
          <w:b/>
        </w:rPr>
        <w:t>E. 3.1</w:t>
      </w:r>
    </w:p>
    <w:p>
      <w:r>
        <w:t>Mit dem Teilurteil vom 11. Dezember 2013 stellte das Bezirksgericht Affoltern in der Zusammensetzung der drei Richter, deren Ausstand der Beschwerdeführer verlangt, fest, der des Mordes angeklagte Beschwerdeführer habe die ihm vorgeworfene Tathandlung vom 7. Januar 2009 begangen. In diesem Punkt haben sich die Bezirksrichter demnach bereits festgelegt, auch wenn Anschlussfragen wie das Schuldmass und die Folgen auf Seiten des Beschwerdeführers wie insbesondere die ihm allenfalls aufzuerlegende Sanktion noch offen sind (vgl. Art. 342 StPO ). Mit der Nachtragsanklage wird wiederum dem Beschwerdeführer Gefährdung des Lebens, Nötigung und Widerhandlung gegen das Waffengesetz vorgeworfen. Es steht mithin nicht - wie im vom Beschwerdeführer angerufenen Urteil des Bundesgerichts 1P.648/2002 vom 4. März 2003 - die Beteiligung anderer Täter an der bereits beurteilten Tathandlung in Frage, sondern es geht um die Beurteilung einer anderen Straftat des gleichen mutmasslichen Täters. Dass derselbe Richter oder das gleiche Richtergremium eine andere Tat desselben Angeklagten im gleichen oder in einem späteren Strafverfahren beurteilt, stellt nach ständiger Praxis keine massgebliche Vorbefassung und damit keinen Ausstandsgrund dar. Zu prüfen ist, ob allenfalls der Zusammenhang zwischen der bereits beurteilten Tathandlung und dem nachträglich angeklagten neuen Tatvorwurf im vorliegenden Fall zu einer ausnahmsweise anderen Beurteilung führt, weil der Ausgang des zweiten Strafverfahrens nicht mehr offen erscheint.</w:t>
      </w:r>
    </w:p>
    <w:p>
      <w:r>
        <w:rPr>
          <w:b/>
        </w:rPr>
        <w:t>E. 3.2</w:t>
      </w:r>
    </w:p>
    <w:p>
      <w:r>
        <w:t>Der Beschwerdeführer soll nach Begehung der ersten Tat die mutmassliche Hauptzeugin derselben bedroht und zum Schweigen aufgefordert haben. Dabei handelt es sich um eine Folgetat im Anschluss an die erste Tathandlung, die massgeblich von der Aussage des mutmasslichen Opfers abhängt, das bereits eine wesentliche Zeugin der ersten bereits beurteilten Tat ist. Allerdings ist nicht bekannt, welchen Stellenwert das Bezirksgericht Affoltern bei der Beurteilung der als Mord angeklagten Tathandlung der Aussage der Zeugin, des mutmasslichen Opfers der Zweittat, beigemessen hat, weil die entsprechende Urteilsbegründung noch nicht vorliegt. Darauf kommt es aber nicht an. Trotz des zeitlichen und sachlichen Zusammenhangs von Haupt- und Folgetat handelt es sich um zwei verschiedene Tatvorwürfe. Wie auch immer das Bezirksgericht Affoltern in seinem Teilurteil vom 11. Dezember 2013 die Glaubwürdigkeit der Zeugin und zugleich des mutmasslichen Opfers der Nachfolgetat eingeschätzt hat, bleiben die Richter für die Beurteilung der Folgetat frei. Es geht um zwei verschiedene Tatvorwürfe, bei denen grundsätzlich davon ausgegangen werden kann, dass die Richter fähig und willens sind, die Tatumstände auch separat nach der jeweils vorliegenden Beweislage zu prüfen und zu beurteilen, sofern es nicht besondere Anhaltspunkte dafür gibt, dass dem nicht so ist. Der Sachzusammenhang für sich allein genügt für die Annahme von Vorbefassung oder Voreingenommenheit nicht. Massgebliche besondere Hinweise für eine solche Ausnahme werden jedoch nicht geltend gemacht und sind auch nicht ersichtlich. Der Beschwerdeführer begründet den angeblichen Anschein von Befangenheit einzig mit dem engen Zusammenhang der beiden mutmasslichen Straftaten. Das genügt zur Rechtfertigung des Ausstandes der beteiligten Richter nicht. Vielmehr erscheint der Verfahrensausgang für den Vorwurf der Zweittat weiterhin offen.</w:t>
      </w:r>
    </w:p>
    <w:p>
      <w:r>
        <w:rPr>
          <w:b/>
        </w:rPr>
        <w:t>E. 3.3</w:t>
      </w:r>
    </w:p>
    <w:p>
      <w:r>
        <w:t>Der angefochtene Beschluss verstösst demnach nicht gegen Bundesrecht.</w:t>
      </w:r>
    </w:p>
    <w:p>
      <w:r>
        <w:rPr>
          <w:b/>
        </w:rPr>
        <w:t>E. 4.1</w:t>
      </w:r>
    </w:p>
    <w:p>
      <w:r>
        <w:t>Die Beschwerde erweist sich als unbegründet und ist abzuweisen.</w:t>
      </w:r>
    </w:p>
    <w:p>
      <w:r>
        <w:rPr>
          <w:b/>
        </w:rPr>
        <w:t>E. 4.2</w:t>
      </w:r>
    </w:p>
    <w:p>
      <w:r>
        <w:t>Dem offenkundig bedürftigen unterliegenden Beschwerdeführer, dessen Rechtsbegehren nicht als von vornherein aussichtslos erscheinen, ist für das bundesgerichtliche Verfahren antragsgemäss die unentgeltliche Rechtspflege und Verbeiständung mit seinem Rechtsvertreter zu gewähren (vgl. Art. 64 BGG ). Damit sind keine Kosten zu erheben, und es ist dem Rechtsvertreter des Beschwerdeführers eine angemessene Parteientschädigung aus der Bundesgerichtskasse auszurichten.</w:t>
      </w:r>
    </w:p>
    <w:p>
      <w:r>
        <w:rPr>
          <w:b/>
        </w:rPr>
        <w:t>E. 4.3</w:t>
      </w:r>
    </w:p>
    <w:p>
      <w:r>
        <w:t>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