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79/2018 vom 30. August 2018</w:t>
      </w:r>
    </w:p>
    <w:p>
      <w:r>
        <w:t>Bundesgericht, 2018-08-30, DE</w:t>
      </w:r>
    </w:p>
    <w:p>
      <w:r>
        <w:rPr>
          <w:b/>
        </w:rPr>
        <w:t xml:space="preserve">Quelle: </w:t>
      </w:r>
      <w:r>
        <w:t>https://mcp.opencaselaw.ch/entscheid/bger_1B_79_2018</w:t>
      </w:r>
    </w:p>
    <w:p>
      <w:r>
        <w:t>FR: TF 1B 79/2018 du 30 août 2018</w:t>
      </w:r>
    </w:p>
    <w:p>
      <w:r>
        <w:t>IT: TF 1B 79/2018 del 30 agosto 2018</w:t>
      </w:r>
    </w:p>
    <w:p>
      <w:pPr>
        <w:pStyle w:val="Heading2"/>
      </w:pPr>
      <w:r>
        <w:t>Regeste</w:t>
      </w:r>
    </w:p>
    <w:p>
      <w:r>
        <w:t>Strafverfahren; Entsiegelung | Strafprozess</w:t>
      </w:r>
    </w:p>
    <w:p>
      <w:pPr>
        <w:pStyle w:val="Heading2"/>
      </w:pPr>
      <w:r>
        <w:t>Erwägungen</w:t>
      </w:r>
    </w:p>
    <w:p>
      <w:r>
        <w:rPr>
          <w:b/>
        </w:rPr>
        <w:t>E. 1.1</w:t>
      </w:r>
    </w:p>
    <w:p>
      <w:r>
        <w:t>Der angefochtene Entscheid schliesst das Strafverfahren nicht ab. Er stellt unstreitig einen Zwischenentscheid nach Art. 93 BGG dar. Dagegen ist die Beschwerde gemäss Absatz 1 dieser Bestimmung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Die Variante nach Art. 93 Abs. 1 lit. b BGG fällt hier ausser Betracht. Nach der Rechtsprechung muss es sich im Strafrecht beim nicht wieder gutzumachenden Nachteil gemäss Art. 93 Abs. 1 lit. a BGG um einen solchen rechtlicher Natur handeln. Ein derartiger Nachteil liegt vor, wenn er auch durch einen für den Beschwerdeführer günstigen späteren Entscheid nicht mehr behoben werden kann ( BGE 144 IV 127 E. 1.3.1 S. 130). Ein lediglich tatsächlicher Nachteil wie die Verlängerung oder Verteuerung des Verfahrens genügt nicht ( BGE 142 III 798 E. 2.2 S. 801 mit Hinweisen). Ist der nicht wieder gutzumachende Nachteil rechtlicher Natur nicht offensichtlich, muss der Beschwerdeführer im Einzelnen darlegen, inwiefern er gegeben sein soll. Andernfalls genügt der Beschwerdeführer seiner Begründungspflicht ( Art. 42 Abs. 2 BGG ) nicht und kann auf die Beschwerde nicht eingetreten werden ( BGE 142 III 798 E. 2.2 S. 801; 141 IV 289 E. 1.3 S. 292; 137 III 324 E. 1.1 S. 329).</w:t>
      </w:r>
    </w:p>
    <w:p>
      <w:r>
        <w:rPr>
          <w:b/>
        </w:rPr>
        <w:t>E. 1.2</w:t>
      </w:r>
    </w:p>
    <w:p>
      <w:r>
        <w:t>Der Beschwerdeführer scheint der Auffassung zu sein, bei einer Entsiegelung sei der nicht wieder gutzumachende Nachteil im Sinne von Art. 93 Abs. 1 lit. a BGG stets zu bejahen. Dies trifft nicht zu. Nach der Rechtsprechung ist ein nicht wieder gutzumachender Nachteil dann anzunehmen, wenn der Beschwerdeführer ein rechtlich geschütztes Geheimnisinteresse ausreichend substanziiert anruft (vgl. BGE 143 IV 462 E. 1 S. 465; Urteil 1B_394/2017 vom 17. Januar 2018 E. 1, nicht publ. in: BGE 144 IV 74 ). Tut er das nicht, sondern macht er andere Beschlagnahmehindernisse geltend, fehlt es dagegen regelmässig am nicht wieder gutzumachenden Nachteil (Urteil 1B_273/2015 vom 21. Januar 2016 E. 1.3). Der Beschwerdeführer ruft substanziiert kein rechtlich geschütztes Geheimnisinteresse an. Vielmehr bringt er (wie bereits vor Vorinstanz) einzig vor, die Entsiegelung sei unzulässig, weil es am hinreichenden Tatverdacht fehle und zudem die sichergestellten Unterlagen und Datenträger für das Strafverfahren belanglos seien. Der nicht wieder gutzumachende Nachteil dürfte damit zu verneinen sein. Jedenfalls ist er nicht offensichtlich gegeben. Der Beschwerdeführer hätte sich daher nach der dargelegten Rechtsprechung näher dazu äussern müssen. Da er dies unterlässt, kann auf die Beschwerde nicht eingetreten werden.</w:t>
      </w:r>
    </w:p>
    <w:p>
      <w:r>
        <w:rPr>
          <w:b/>
        </w:rPr>
        <w:t>E. 2</w:t>
      </w:r>
    </w:p>
    <w:p>
      <w:r>
        <w:t>Bei diesem Ausgang des Verfahrens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