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777/2012 vom 15. Januar 2013</w:t>
      </w:r>
    </w:p>
    <w:p>
      <w:r>
        <w:t>Bundesgericht, 2013-01-15, FR</w:t>
      </w:r>
    </w:p>
    <w:p>
      <w:r>
        <w:rPr>
          <w:b/>
        </w:rPr>
        <w:t xml:space="preserve">Quelle: </w:t>
      </w:r>
      <w:r>
        <w:t>https://mcp.opencaselaw.ch/entscheid/bger_1B_777_2012</w:t>
      </w:r>
    </w:p>
    <w:p>
      <w:r>
        <w:t>FR: TF 1B 777/2012 du 15 janvier 2013</w:t>
      </w:r>
    </w:p>
    <w:p>
      <w:r>
        <w:t>IT: TF 1B 777/2012 del 15 gennaio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En l'espèce, le recourant ne conteste pas l'existence de charges suffisantes. Il nie en revanche celle des risques de fuite et de récidive ( art. 221 CPP ); à titre subsidiaire, il prétend que ceux-ci peuvent être palliés par le versement d'une caution d'un montant de 10'000 francs. A cet égard, il reproche à la cour cantonale d'avoir ignoré l'injonction du Tribunal fédéral d'examiner si une mesure de substitution pouvait entrer en ligne de compte.</w:t>
      </w:r>
    </w:p>
    <w:p>
      <w:r>
        <w:rPr>
          <w:b/>
        </w:rPr>
        <w:t>E. 3.1</w:t>
      </w:r>
    </w:p>
    <w:p>
      <w:r>
        <w:t>Aux termes de l' art. 221 al. 1 let . c CPP, la détention provisoire et la détention pour des motifs de sûreté peuvent être ordonnées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le recourant a été condamné en première instance le 12 novembre 2012 pour avoir participé à l'enlèvement, la séquestration et le passage à tabac de B.________ survenus entre le 28 et le 29 avril 2010 entre Lausanne et Neuchâtel; il était le cerveau de l'opération, les autres comparses ayant été interpellés par ses soins et ayant tous agi selon ses directives. Le Tribunal correctionnel de l'arrondissement de Lausanne a en particulier mis en évidence le peu de considération dont a fait preuve le recourant à l'égard de la victime et relevait qu'il restait persuadé que cette dernière avait mérité ce qui lui était arrivé (cf. jugement - non entré en force - rendu le 13 novembre 2012 p. 32 ). De plus, comme mentionné par l'instance précédente, le recourant a été condamné à sept reprises entre 2003 et 2011. La cour cantonale a en particulier relevé que la condamnation du 3 mai 2006 à neuf mois de peine privative de liberté avec sursis pendant quatre ans pour brigandage, contrainte et tentative de contrainte notamment, et celle du 19 octobre 2010 à une peine pécuniaire de 180 jours-amende de 30 fr. pour incendie intentionnel, étaient également fondés sur des actes de menace et de violence à l'égard de tiers. Au moment des faits, il avait donc déjà été condamné pour des actes similaires. Quoi qu'en dise le recourant, la condamnation du 3 mai 2006 peut être prise en compte dans l'examen du risque de récidive; en outre, loin de s'amender, le recourant a persisté dans la commission d'infractions, ce qui est déterminant dans l'appréciation du danger de réitération. Enfin, l'absence de prise de conscience de la gravité des actes pour lesquels il a été condamné le 12 novembre 2012 peut également faire redouter un risque de réitération. En définitive, les éléments susmentionnés sont suffisants pour retenir l'existence d'un risque concret de récidive au sens de l' art. 221 al. 1 let . c CPP. Le recours doit être rejeté sur ce point.</w:t>
      </w:r>
    </w:p>
    <w:p>
      <w:r>
        <w:rPr>
          <w:b/>
        </w:rPr>
        <w:t>E. 3.3</w:t>
      </w:r>
    </w:p>
    <w:p>
      <w:r>
        <w:t>Le recourant reproche à l'instance précédente de ne pas avoir examiné si une mesure de substitution à la détention pouvait entrer en ligne de compte, comme le lui avait pourtant enjoint le Tribunal fédéral dans son arrêt de renvoi du 19 décembre 2012. En l'occurrence, la cour cantonale a rejeté, dans le dispositif de sa décision, la requête de mise en liberté présentée par le recourant. Même si elle ne s'est pas expressément prononcée sur d'éventuelles mesures de substitution dans les considérants de sa décision, il convient d'admettre qu'en rejetant la demande de mise en liberté, elle a implicitement considéré qu'aucune mesure de substitution n'était à même de palier le risque de réitération. En effet, on ne voit pas quelle mesure de substitution pourrait prévenir efficacement le risque de réitération. Le recourant a récidivé en dépit du fait que le sursis avec mise à l'épreuve assortissant la peine de prison prononcée en 2006 sanctionnait déjà des actes de brigandage et contrainte et qu'il avait alors déjà effectué une vingtaine de jours de détention provisoire. Au demeurant, le versement de sûretés - seule mesure proposée par le recourant - ne peut être ordonné que lorsque est à craindre un risque de fuite (cf. art. 238 al. 1 CPP a contrario). Le versement d'une "caution" par le recourant n'entre donc pas en considération en l'espèce.</w:t>
      </w:r>
    </w:p>
    <w:p>
      <w:r>
        <w:rPr>
          <w:b/>
        </w:rPr>
        <w:t>E. 3.4</w:t>
      </w:r>
    </w:p>
    <w:p>
      <w:r>
        <w:t>Le maintien en détention étant justifié par un risque de récidive, il n'est pas nécessaire d'examiner s'il existe aussi un risque de fuite, comme le retient la décision attaquée. Ainsi, point n'est besoin de statuer sur les critiques soulevées par le recourant en lien avec les considérants de la décision cantonale traitant du danger de fuite.</w:t>
      </w:r>
    </w:p>
    <w:p>
      <w:r>
        <w:rPr>
          <w:b/>
        </w:rPr>
        <w:t>E. 4</w:t>
      </w:r>
    </w:p>
    <w:p>
      <w:r>
        <w:t>Sur le vu de ce qui précède, le recours doit être rejeté. Le recourant a demandé l'assistance judiciaire et les conditions en paraissent réunies. Me Jean Lob est désignée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