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1B_773/2012 vom 31. Januar 2013</w:t>
      </w:r>
    </w:p>
    <w:p>
      <w:r>
        <w:t>Bundesgericht, 2013-01-31, FR</w:t>
      </w:r>
    </w:p>
    <w:p>
      <w:r>
        <w:rPr>
          <w:b/>
        </w:rPr>
        <w:t xml:space="preserve">Quelle: </w:t>
      </w:r>
      <w:r>
        <w:t>https://mcp.opencaselaw.ch/entscheid/bger_1B_773_2012</w:t>
      </w:r>
    </w:p>
    <w:p>
      <w:r>
        <w:t>FR: TF 1B_773/2012 du 31 janvier 2013</w:t>
      </w:r>
    </w:p>
    <w:p>
      <w:r>
        <w:t>IT: TF 1B_773/2012 del 31 gennaio 2013</w:t>
      </w:r>
    </w:p>
    <w:p>
      <w:pPr>
        <w:pStyle w:val="Heading2"/>
      </w:pPr>
      <w:r>
        <w:t>Erwägungen</w:t>
      </w:r>
    </w:p>
    <w:p>
      <w:r>
        <w:rPr>
          <w:b/>
        </w:rPr>
        <w:t>E. 1</w:t>
      </w:r>
    </w:p>
    <w:p>
      <w:r>
        <w:t>Les recours ont trait à la même procédure pénale, les mêmes parties sont impliquées et les questions soulevées sont semblables. Il se justifie donc de joindre les causes 1B_773/2012 et 1B_25/2013 pour statuer dans un seul et même arrêt.</w:t>
      </w:r>
    </w:p>
    <w:p>
      <w:r>
        <w:rPr>
          <w:b/>
        </w:rPr>
        <w:t>E. 2</w:t>
      </w:r>
    </w:p>
    <w:p>
      <w:r>
        <w:t>Selon l' art. 78 LTF , le recours en matière pénale est ouvert contre les décisions rendues en matière pénale, dont font partie les décisions relatives à la détention provisoire ou pour des motifs de sûreté au sens des art. 220 ss CPP ( ATF 137 IV 22 consid. 1 p. 23). Selon l'art. 81 al. 1 let. a et let. b ch. 1 LTF, l'accusé a qualité pour agir. Pour le surplus, les recours sont formés en temps utile ( art. 100 al. 1 LTF ) contre des décisions rendues en dernière instance cantonale ( art. 80 LTF ) et les conclusions présentées sont recevables au regard de l' art. 107 al. 2 LTF . Il y a donc lieu d'entrer en matière.</w:t>
      </w:r>
    </w:p>
    <w:p>
      <w:r>
        <w:rPr>
          <w:b/>
        </w:rPr>
        <w:t>E. 3</w:t>
      </w:r>
    </w:p>
    <w:p>
      <w:r>
        <w:t>Une mesure de détention avant jugement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4</w:t>
      </w:r>
    </w:p>
    <w:p>
      <w:r>
        <w:t>Le recourant ne remet pas en cause le caractère suffisant des charges mais il conteste l'existence d'un risque de fuite et il soutient que les mesures de substitution ordonnées par le Tmc dans son ordonnance du 21 décembre 2012 étaient adéquates.</w:t>
      </w:r>
    </w:p>
    <w:p>
      <w:r>
        <w:rPr>
          <w:b/>
        </w:rPr>
        <w:t>E. 4.1</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Il est sans importance que l'extradition du prévenu puisse être obtenue ( ATF 123 I 31 consid. 3d p. 36 s.).</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CPP , font notamment partie des mesures de substitution: la fourniture de sûretés (let. a), la saisie des documents d'identité et autres documents officiels (let. b), ou encore l'obligation de se présenter régulièrement à un service administratif (let. d).</w:t>
      </w:r>
    </w:p>
    <w:p>
      <w:r>
        <w:rPr>
          <w:b/>
        </w:rPr>
        <w:t>E. 4.2</w:t>
      </w:r>
    </w:p>
    <w:p>
      <w:r>
        <w:t>En l'occurrence, la Cour de justice a considéré que le risque de fuite n'était pas plus aigu qu'au printemps 2012, lorsqu'elle avait qualifié ce risque de "guère élevé". Compte tenu des attaches du recourant avec la Suisse et de ses quelques liens à l'étranger - soit le domicile d'une soeur en Allemagne et d'éventuels autres liens familiaux dont l'arrêt attaqué ne dit rien - elle a retenu l'existence de ce risque, en considérant que son niveau permettait d'envisager une mise en liberté assortie de mesures de substitution. Le recourant soutient quant à lui que le risque de fuite est inexistant. Il est en effet de nationalité suisse, il a le centre de sa vie et de ses intérêts à Genève et n'a pratiquement aucune attache à l'étranger.</w:t>
      </w:r>
    </w:p>
    <w:p>
      <w:r>
        <w:t>Il est vrai qu'un risque de fuite qualifié de "guère élevé" n'apparaît pas d'emblée correspondre à l'exigence d'un risque qu'il y aurait "sérieusement lieu de craindre" selon les termes de l' art. 221 al. 1 CPP . L'appréciation de la Cour de justice, au demeurant peu motivée, peut cependant être étayée par les derniers développements de la procédure, qui ont conduit à une aggravation du risque de fuite. En effet, l'instruction est désormais terminée, le recourant ayant été renvoyé en jugement le 17 décembre 2012. Si l'infraction de blanchiment d'argent n'a pas été retenue par le Ministère public, le recourant n'en demeure pas moins prévenu de tentative d'instigation à assassinat, de tentative d'instigation à lésions corporelles graves et d'infractions à la loi fédérale sur les étrangers. Dans ces conditions, la peine encourue en cas de condamnation est devenue plus concrète et elle pourrait inciter le recourant à faire certains sacrifices pour y échapper. De plus, la proximité de l'audience de jugement est elle aussi de nature à accroître le risque de fuite (cf. arrêts 1B_447/2011 du 21 septembre 2011 consid. 2; 1B_206/2008 du 12 août 2008 consid. 4.2 et les arrêts cités). En définitive, on peut admettre qu'il existe un risque de fuite, de sorte que la décision attaquée peut être confirmée sur ce point, par substitution de motifs.</w:t>
      </w:r>
    </w:p>
    <w:p>
      <w:r>
        <w:rPr>
          <w:b/>
        </w:rPr>
        <w:t>E. 4.3</w:t>
      </w:r>
    </w:p>
    <w:p>
      <w:r>
        <w:t>Cela étant, les éléments sur lesquels se fonde le risque de fuite ne permettent pas de confirmer l'appréciation des mesures de substitution par la Cour de justice. Les mesures en question doivent en effet être analysées non pas de manière abstraite, mais en relation avec l'importance du risque de fuite présenté concrètement par l'intéressé. Or, en présence d'un risque qui se révèle faible eu égard aux éléments retenus par les instances précédentes, les mesures ordonnées par le Tmc dans sa décision du 21 décembre 2012 apparaissent suffisantes. En effet, le dépôt des documents d'identité, l'obligation de se présenter deux fois par semaine à un poste de police, la fourniture de sûretés d'un montant non négligeable de 40'000 fr. et l'obligation de répondre à toute convocation du pouvoir judiciaire constituent un frein suffisant à d'hypothétiques velléités de fuite du recourant, qui conserve par ailleurs le centre de sa vie et de ses intérêts en Suisse.</w:t>
      </w:r>
    </w:p>
    <w:p>
      <w:r>
        <w:t>Ainsi, même si l'on peut partager les réserves de la Cour de justice au sujet du manque de clarté de la situation financière du recourant, le principe de la proportionnalité commandait de mettre en relation les mesures précitées et le risque à pallier. Au regard de l'indigence des fondements de ce dernier, les exigences imposées au recourant et une éventuelle augmentation du montant de la caution apparaissent excessives. En définitive, les éléments retenus par la Cour de justice ne permettent pas de tenir pour insuffisantes les sûretés de 40'000 fr. et les autres mesures fixées par le Tmc. Les mesures de substitution ordonnées par cette dernière autorité doivent donc être confirmées, de sorte que le recourant doit être remis en liberté moyennant le respect de celles-ci. Il y a donc lieu de confirmer intégralement l'ordonnance rendue par le Tmc le 21 décembre 2012 et de renvoyer la cause à cette autorité pour qu'elle organise sans délai la mise en oeuvre des mesures de substitution et la mise en liberté du recourant.</w:t>
      </w:r>
    </w:p>
    <w:p>
      <w:r>
        <w:rPr>
          <w:b/>
        </w:rPr>
        <w:t>E. 4.4</w:t>
      </w:r>
    </w:p>
    <w:p>
      <w:r>
        <w:t>A titre de mesure de substitution, le Tmc a notamment ordonné l'obligation pour le recourant de se présenter au poste de police des Pâquis les mardis et vendredis de chaque semaine. Dès lors qu'il est reproché au recourant d'avoir voulu faire assassiner un gendarme de ce même poste de police, la mesure en question n'apparaît pas adéquate. On ignore toutefois si le gendarme concerné est toujours affecté à ce poste de police et s'il est susceptible d'être confronté au recourant les jours où ce dernier doit se présenter. Il appartiendra au Tmc de régler ce problème dans le cadre de la mise en oeuvre de sa décision, en prenant les mesures qui s'imposent pour éviter tout incident ou, le cas échéant, en désignant une autre autorité devant laquelle le recourant devrait se présenter régulièrement.</w:t>
      </w:r>
    </w:p>
    <w:p>
      <w:r>
        <w:rPr>
          <w:b/>
        </w:rPr>
        <w:t>E. 5</w:t>
      </w:r>
    </w:p>
    <w:p>
      <w:r>
        <w:t>La décision précitée - qui ordonne simultanément la mise en détention du recourant pour des motifs de sûreté et sa mise en liberté avec mesures de substitution - remplace la décision antérieure faisant l'objet de la cause 1B_773/2012. Par conséquent, les conclusions formées dans la cause précitée et tendant à l'annulation de cette ancienne décision ont perdu leur objet. L'intéressé ne prétend pas qu'il devrait être mis en liberté moyennant le versement du montant de 25'000 fr. évoqué dans la procédure précitée et il ne conteste pas le montant de 40'000 fr., qui a au demeurant été versé. Le recours formé dans la cause 1B_773/2012 doit dès lors être déclaré sans objet. Enfin, vu la confirmation de l'ordonnance du 21 décembre 2012 et le renvoi de la cause au Tmc pour qu'il organise la mise en liberté du recourant aux conditions susmentionnées, la conclusion demandant au Tribunal fédéral d'ordonner sa mise en liberté immédiate devient elle aussi sans objet.</w:t>
      </w:r>
    </w:p>
    <w:p>
      <w:r>
        <w:rPr>
          <w:b/>
        </w:rPr>
        <w:t>E. 6</w:t>
      </w:r>
    </w:p>
    <w:p>
      <w:r>
        <w:t>Il s'ensuit que le recours formé dans la cause 1B_25/2013 est admis et l'arrêt de la Cour de justice du 4 janvier 2013 annulé. L'ordonnance du Tmc du 21 décembre 2012 est confirmée et la cause est renvoyée à cette autorité pour qu'elle organise sans délai la mise en oeuvre des mesures de substitution et la mise en liberté du recourant. Cette issue rend sans objet le recours formé dans la cause 1B_773/2012. Il n'y a pas lieu de percevoir de frais judiciaires ( art. 66 al. 4 LTF ). Pour les deux procédures (1B_773/2012 et 1B_25/2013), l'Etat de Genève versera une indemnité à titre de dépens au recourant, qui obtient gain de cause avec l'assistance d'un avocat ( art. 68 al. 1 LTF ). Dans ces conditions,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