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76/2019 vom 2. Mai 2019</w:t>
      </w:r>
    </w:p>
    <w:p>
      <w:r>
        <w:t>Bundesgericht, 2019-05-02, DE</w:t>
      </w:r>
    </w:p>
    <w:p>
      <w:r>
        <w:rPr>
          <w:b/>
        </w:rPr>
        <w:t xml:space="preserve">Quelle: </w:t>
      </w:r>
      <w:r>
        <w:t>https://mcp.opencaselaw.ch/entscheid/bger_1B_76_2019</w:t>
      </w:r>
    </w:p>
    <w:p>
      <w:r>
        <w:t>FR: TF 1B 76/2019 du 2 mai 2019</w:t>
      </w:r>
    </w:p>
    <w:p>
      <w:r>
        <w:t>IT: TF 1B 76/2019 del 2 maggio 2019</w:t>
      </w:r>
    </w:p>
    <w:p>
      <w:pPr>
        <w:pStyle w:val="Heading2"/>
      </w:pPr>
      <w:r>
        <w:t>Regeste</w:t>
      </w:r>
    </w:p>
    <w:p>
      <w:r>
        <w:t>Strafverfahren; Beweisanträge, Ausstand, amtliche Verteidigung | Strafprozess</w:t>
      </w:r>
    </w:p>
    <w:p>
      <w:pPr>
        <w:pStyle w:val="Heading2"/>
      </w:pPr>
      <w:r>
        <w:t>Erwägungen</w:t>
      </w:r>
    </w:p>
    <w:p>
      <w:r>
        <w:rPr>
          <w:b/>
        </w:rPr>
        <w:t>E. 1.1</w:t>
      </w:r>
    </w:p>
    <w:p>
      <w:r>
        <w:t>Beim angefochtenen Urteil handelt es sich um einen selbständig eröffneten Zwischenentscheid in einer Strafsache ( Art. 78 Abs. 1 BGG ). Das Obergericht hat als letzte und, soweit das Ausstandsbegehren betroffen ist, einzige kantonale Instanz entschieden ( Art. 80 BGG i.V.m. Art. 59 Abs. 1 StPO ).</w:t>
      </w:r>
    </w:p>
    <w:p>
      <w:r>
        <w:rPr>
          <w:b/>
        </w:rPr>
        <w:t>E. 1.2</w:t>
      </w:r>
    </w:p>
    <w:p>
      <w:r>
        <w:t>Zu prüfen ist weiter, ob ein anfechtbarer Entscheid gemäss Art. 90 ff. BGG vorliegt. Soweit sich die Beschwerde gegen die Abweisung des Ausstandsgesuchs richtet, ist sie nach Art. 92 BGG zulässig. Im Übrigen sieht Art. 93 Abs. 1 BGG vor, dass gegen andere selbständig eröffnete Vor- und Zwischenentscheide die Beschwerde zulässig ist, wenn sie einen nicht wieder gutzumachenden Nachteil begründen können (lit. a), oder wenn die Gutheissung der Beschwerde sofort einen Endentscheid herbeiführen und damit einen bedeutenden Aufwand an Zeit oder Kosten für ein weitläufiges Beweisverfahren ersparen würde. Vorliegend kommt nur Art. 93 Abs. 1 lit. a BGG in Betracht. Soweit das Obergericht das Gesuch um amtliche Verteidigung abwies, droht ein nicht wieder gutzumachender Rechtsnachteil im Sinne dieser Bestimmung ( BGE 133 IV 335 E. 4 S. 338 mit Hinweisen). Dagegen legt die Beschwerdeführerin in Bezug auf die teilweise abgewiesenen Beweisanträge nicht dar, weshalb sie diese nicht ohne Rechtsnachteil vor dem erstinstanzlichen Gericht wiederholen kann. Da dies auch nicht offensichtlich ist, ist auf die Beschwerde insoweit nicht einzutreten.</w:t>
      </w:r>
    </w:p>
    <w:p>
      <w:r>
        <w:rPr>
          <w:b/>
        </w:rPr>
        <w:t>E. 1.3</w:t>
      </w:r>
    </w:p>
    <w:p>
      <w:r>
        <w:t>Die Beschwerde enthält zahlreiche Ausführungen, die über den Verfahrensgegenstand hinausgehen. So äussert die Beschwerdeführerin beispielsweise Kritik am offenbar hängigen Eheschutzverfahren, dem abgeschlossenen Verfahren betreffend ihre Einbürgerung und am Vorgehen ihrer früheren Rechtsvertreterin. Auch darauf ist nicht einzutreten.</w:t>
      </w:r>
    </w:p>
    <w:p>
      <w:r>
        <w:rPr>
          <w:b/>
        </w:rPr>
        <w:t>E. 1.4</w:t>
      </w:r>
    </w:p>
    <w:p>
      <w:r>
        <w:t>Unberücksichtigt bleiben zudem die Vorbringen, welche sich auf Ereignisse nach Ergehen des angefochtenen Entscheids beziehen ( Art. 99 Abs. 1 BGG ).</w:t>
      </w:r>
    </w:p>
    <w:p>
      <w:r>
        <w:rPr>
          <w:b/>
        </w:rPr>
        <w:t>E. 1.5</w:t>
      </w:r>
    </w:p>
    <w:p>
      <w:r>
        <w:t>Im Übrigen geben die Sachurteilsvoraussetzungen zu keinen weiteren Bemerkungen Anlass. Auf die Beschwerde ist im genannten Umfang einzutreten.</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(vgl. dazu im Einzelnen BGE 141 IV 178 E. 3.2.1 f. S. 179 f. und Urteil 1B_51/2019 vom 28. März 2019 E. 3.1; je mit Hinweisen). Fehlerhafte Verfügungen und Verfahrenshandlungen des Staatsanwalts im Vorverfahren begründen für sich allein keinen Anschein der Voreingenommenheit. Anders verhält es sich, wenn besonders krasse oder wiederholte Irrtümer vorliegen, die eine schwere Verletzung der Amtspflichten darstellen ( BGE 141 IV 178 E. 3.2.3 S. 180 mit Hinweisen). Von Bedeutung ist in dieser Hinsicht, ob sich die Verletzung der Amtspflichten zum Nachteil des Gesuchstellers auswirkte (Urteil 1B_11/2013 vom 11. März 2013 E. 2 mit Hinweisen).</w:t>
      </w:r>
    </w:p>
    <w:p>
      <w:r>
        <w:rPr>
          <w:b/>
        </w:rPr>
        <w:t>E. 2.2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2.3</w:t>
      </w:r>
    </w:p>
    <w:p>
      <w:r>
        <w:t>Die Beschwerdeführerin, die ihr Ausstandsgesuch direkt an das Obergericht statt an die Staatsanwaltschaft richtete (vgl. Art. 58 Abs. 1 i.V.m. Art. 61 lit. a StPO ) machte zu dessen Begründung Tatsachen geltend, die sich bereits mehr als zwei Wochen zuvor zugetragen hatten. Das Gesuch war somit verspätet. Insoweit, als sich das Obergericht dennoch inhaltlich damit befasste, ist der angefochtene Entscheid zudem nicht zu beanstanden. Es kann nicht als schwere Verletzung der Amtspflichten bezeichnet werden, wenn der Gesuchsgegner nach Ablauf der von ihm angesetzten Frist zur Stellungnahme vom Beschuldigten eine Kostennote sowie einen Entscheid des Regionalgerichts Bern-Mittelland betreffend Eheschutz/vorsorgliche Massnahmen zu den Akten nahm. Auch der Umstand, dass der Gesuchsgegner dem Beschuldigten zuvor mehrfach eine Fristerstreckung gewährt hatte, begründet keine Befangenheit. Das Obergericht verletzte aus diesen Gründen kein Bundesrecht, wenn es das Ausstandsgesuch abwies, soweit es darauf eintrat.</w:t>
      </w:r>
    </w:p>
    <w:p>
      <w:r>
        <w:rPr>
          <w:b/>
        </w:rPr>
        <w:t>E. 3</w:t>
      </w:r>
    </w:p>
    <w:p>
      <w:r>
        <w:t>Umstritten ist schliesslich, ob das Obergericht eine amtliche Verteidigung hätte anordnen müssen. Da es sich nicht um einen Fall der notwendigen Verteidigung handelt (Art. 132 Abs. 1 lit. a i.V.m. Art. 130 StPO ), ist dafür insbesondere vorausgesetzt, dass die beschuldigte Person nicht über die erforderlichen Mittel verfügt ( Art. 132 Abs. 1 lit. b StPO ). Das Obergericht verneinte dies in Bezug auf die Beschwerdeführerin, die sich dazu nicht äussert und offenbar der irrigen Auffassung ist, sie müsse ihre finanzielle Situation nicht offenlegen. Der angefochtene Entscheid ist auch in dieser Hinsicht nicht zu beanstanden.</w:t>
      </w:r>
    </w:p>
    <w:p>
      <w:r>
        <w:rPr>
          <w:b/>
        </w:rPr>
        <w:t>E. 4</w:t>
      </w:r>
    </w:p>
    <w:p>
      <w:r>
        <w:t>Die Beschwerde ist abzuweisen, soweit darauf einzutreten ist. Bei diesem Verfahrensausgang sind die Kosten des bundesgerichtlichen Verfahrens der Beschwerdeführerin aufzuerlegen ( Art. 66 Abs. 1 BGG ). Es wird keine Parteientschädigung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