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1B_76/2015 vom 31. März 2015</w:t>
      </w:r>
    </w:p>
    <w:p>
      <w:r>
        <w:t>Bundesgericht, 2015-03-31, FR</w:t>
      </w:r>
    </w:p>
    <w:p>
      <w:r>
        <w:rPr>
          <w:b/>
        </w:rPr>
        <w:t xml:space="preserve">Quelle: </w:t>
      </w:r>
      <w:r>
        <w:t>https://mcp.opencaselaw.ch/entscheid/bger_1B_76_2015</w:t>
      </w:r>
    </w:p>
    <w:p>
      <w:r>
        <w:t>FR: TF 1B_76/2015 du 31 mars 2015</w:t>
      </w:r>
    </w:p>
    <w:p>
      <w:r>
        <w:t>IT: TF 1B_76/2015 del 31 marzo 2015</w:t>
      </w:r>
    </w:p>
    <w:p>
      <w:pPr>
        <w:pStyle w:val="Heading2"/>
      </w:pPr>
      <w:r>
        <w:t>Erwägungen</w:t>
      </w:r>
    </w:p>
    <w:p>
      <w:r>
        <w:rPr>
          <w:b/>
        </w:rPr>
        <w:t>E. 1</w:t>
      </w:r>
    </w:p>
    <w:p>
      <w:r>
        <w:t>Selon l' art. 78 LTF , le recours en matière pénale est ouvert contre les décisions rendues en matière pénale, dont font partie les décisions relatives à la détention provisoire ou pour des motifs de sûreté au sens des art. 212 ss CPP ( ATF 137 IV 22 consid. 1 p. 23). Selon l'art. 81 al. 1 let. a et let. b ch. 1 LTF, le prévenu, actuellement détenu, a qualité pour agir. 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Dans son mémoire, le recourant ne nie pas le caractère suffisant des charges retenues contre lui. Il conteste en revanche l'existence d'un risque de récidive et soutient que la durée de sa détention jusqu'au 20 mai 2015, soit à l'audience des débats, serait disproportionnée.</w:t>
      </w:r>
    </w:p>
    <w:p>
      <w:r>
        <w:rPr>
          <w:b/>
        </w:rPr>
        <w:t>E. 2.1.1</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w:t>
      </w:r>
    </w:p>
    <w:p>
      <w:r>
        <w:t>Préalablement à ces conditions, il doit exister à l'égard de l'intéressé des charges suffisantes, soit de sérieux soupçons de culpabilité ( art. 221 al. 1 CPP ).</w:t>
      </w:r>
    </w:p>
    <w:p>
      <w:r>
        <w:rPr>
          <w:b/>
        </w:rPr>
        <w:t>E. 2.1.2</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que la détention provisoire ne doit pas durer plus longtemps que la peine privative de liberté prévisible. Le juge peut dès lors maintenir la détention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 ATF 139 IV 270 consid. 3.1 p. 275 et les arrêts cités).</w:t>
      </w:r>
    </w:p>
    <w:p>
      <w:r>
        <w:rPr>
          <w:b/>
        </w:rPr>
        <w:t>E. 2.2</w:t>
      </w:r>
    </w:p>
    <w:p>
      <w:r>
        <w:t>Dans son écriture, le recourant nie le risque de réitération retenu par les instances précédentes, en minimisant notamment l'importance de sa précédente condamnation pour vol par effraction par les autorités belges en 2012. Le recourant ne critique cependant pas, à juste titre, le risque de fuite également retenu par l'instance précédente, eu égard notamment à sa nationalité étrangère, à son absence d'attaches avec la Suisse et à la peine encourue; l'intéressé a d'ailleurs affirmé dans son mémoire de recours qu'il comptait retourner dans son pays. Par conséquent, le placement en détention pour des motifs de sûreté apparaît justifié au regard de l' art. 221 al. 1 let. a CPP , de sorte qu'il n'y a pas lieu d'examiner plus avant la question du risque de récidive ( art. 221 al. 1 let . c CPP).</w:t>
      </w:r>
    </w:p>
    <w:p>
      <w:r>
        <w:rPr>
          <w:b/>
        </w:rPr>
        <w:t>E. 2.3</w:t>
      </w:r>
    </w:p>
    <w:p>
      <w:r>
        <w:t>Pour contester la proportionnalité de la durée de sa détention ordonnée jusqu'au 27 mai 2015, le recourant soutient que de forts soupçons ne peuvent être retenus à son encontre que dans un seul vol et, de plus, uniquement à titre de complicité; il explique avoir été contraint de faire le guet pour l'auteur principal du vol car il lui devait de l'argent. Le recourant affirme qu'aucun indice ne permet de prouver sa participation aux autres vols; il se prévaut notamment d'un témoignage écrit d'une tierce personne.</w:t>
      </w:r>
    </w:p>
    <w:p>
      <w:r>
        <w:t>A ce stade de la procédure, l'acte d'accusation établi par le Ministère public constitue un élément essentiel pour juger de la proportionnalité de la détention subie par l'accusé. Celui-ci a en l'occurrence été renvoyé en jugement pour les chefs d'accusation de vol et tentative de vol, dommages à la propriété et violation de domicile pour avoir pénétré par effraction dans des logements du canton de Vaud les 31 octobre et 7 décembre 2013 et de la région bâloise entre le 12 et 13 novembre 2014. Pour ces faits, le recourant est renvoyé en jugement devant un tribunal compétent pour prononcer des peines privatives de liberté dépassant une année. Les éléments invoqués par le recourant ne permettent pas in casu de faire abstraction des charges figurant contre lui. Il sied en particulier de relever que le recourant a expressément admis avoir participé - tout en minimisant son implication - au vol par effraction commis le 31 octobre 2013 dans une villa à Bursinel et que le butin a été estimé à environ 100'000 fr. Dans ces circonstances, la détention qu'aura subie le recourant à la date fixée pour l'audience de jugement (un peu plus de 6 mois) est encore inférieure au cadre de la peine envisageable au vu des différentes infractions qui lui sont reprochées et de ses antécédents judiciaires défavorables, en particulier sa condamnation en 2012 pour vol par effraction à une peine d'emprisonnement d'un an avec sursis pendant trois ans pour les deux tiers. L'instance précédente a donc correctement nié une violation du principe de la proportionnalité.</w:t>
      </w:r>
    </w:p>
    <w:p>
      <w:r>
        <w:rPr>
          <w:b/>
        </w:rPr>
        <w:t>E. 3</w:t>
      </w:r>
    </w:p>
    <w:p>
      <w:r>
        <w:t>Il s'ensuit que le recours doit être rejeté. Dès lors que celui-ci apparaissait d'emblée dépourvu de chances de succès, la requête d'assistance judiciaire doit également être rejetée ( art. 64 al. 1 et 2 LTF ). Vu la situation personnelle de l'intéressé, l'arrêt sera néanmoins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