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768/2012 vom 15. Januar 2013</w:t>
      </w:r>
    </w:p>
    <w:p>
      <w:r>
        <w:t>Bundesgericht, 2013-01-15, FR</w:t>
      </w:r>
    </w:p>
    <w:p>
      <w:r>
        <w:rPr>
          <w:b/>
        </w:rPr>
        <w:t xml:space="preserve">Quelle: </w:t>
      </w:r>
      <w:r>
        <w:t>https://mcp.opencaselaw.ch/entscheid/bger_1B_768_2012</w:t>
      </w:r>
    </w:p>
    <w:p>
      <w:r>
        <w:t>FR: TF 1B 768/2012 du 15 janvier 2013</w:t>
      </w:r>
    </w:p>
    <w:p>
      <w:r>
        <w:t>IT: TF 1B 768/2012 del 15 gennaio 2013</w:t>
      </w:r>
    </w:p>
    <w:p>
      <w:pPr>
        <w:pStyle w:val="Heading2"/>
      </w:pPr>
      <w:r>
        <w:t>Regeste</w:t>
      </w:r>
    </w:p>
    <w:p>
      <w:r>
        <w:t>détention provisoire | Procédure pénale</w:t>
      </w:r>
    </w:p>
    <w:p>
      <w:pPr>
        <w:pStyle w:val="Heading2"/>
      </w:pPr>
      <w:r>
        <w:t>Erwägungen</w:t>
      </w:r>
    </w:p>
    <w:p>
      <w:r>
        <w:rPr>
          <w:b/>
        </w:rPr>
        <w:t>E. 1</w:t>
      </w:r>
    </w:p>
    <w:p>
      <w:r>
        <w:t>L'arrêt attaqué est une décision finale d'irrecevabilité rendue dans le cadre d'une procédure pénale ayant pour objet une mesure de détention provisoire au sens des art. 212 ss CPP . Il peut être contesté devant le Tribunal fédéral par la voie du recours en matière pénale selon les art. 78 ss LTF . Le recourant a qualité pour agir au sens de l'art. 81 al. 1 let. a et b ch. 1 LTF. Les autres conditions de recevabilité du recours sont au surplus réunies.</w:t>
      </w:r>
    </w:p>
    <w:p>
      <w:r>
        <w:rPr>
          <w:b/>
        </w:rPr>
        <w:t>E. 2</w:t>
      </w:r>
    </w:p>
    <w:p>
      <w:r>
        <w:t>La Cour de justice a déclaré irrecevable le recours formé par le recourant contre l'ordonnance du Tmc refusant sa mise en liberté. En substance, elle reproche au recourant de ne pas avoir contesté les raisons ayant conduit le Tmc à rejeter la demande de mise en liberté, à savoir la nécessité d'entendre l'expert ayant établi le rapport d'expertise du 8 août 2012. L'instance précédente fait en particulier grief au recourant d'avoir, pour étayer son recours, invoqué des faits nouveaux survenus après la décision entreprise: il s'agit, d'une part, des propos tenus par l'expert-psychiatre et lui-même lors de l'audience du 5 novembre 2012 et, d'autre part, de l'attestation du Dr X.________ établie le 7 novembre 2012; ces faits nouveaux auraient au demeurant conduit le recourant à prendre des conclusions nouvelles, c'est-à-dire à ne plus solliciter comme devant le Tmc une mise en liberté conditionnée à un traitement médical ambulatoire "dont le suivi sera organisé par l'unité de service psychiatrique pénitentiaire de Champ-Dollon", mais par un médecin privé, "le Dr X.________, psychiatre, à raison d'une séance hebdomadaire".</w:t>
      </w:r>
    </w:p>
    <w:p>
      <w:r>
        <w:rPr>
          <w:b/>
        </w:rPr>
        <w:t>E. 2.1</w:t>
      </w:r>
    </w:p>
    <w:p>
      <w:r>
        <w:t>Conformément à l' art. 222 CPP , la décision querellée du Tmc a fait l'objet d'un recours au sens de l' art. 393 al. 1 let . c CPP. Selon l'alinéa 2 de cette disposition, peuvent être invoquées comme motifs du recours la violation du droit, y compris l'excès et l'abus du pouvoir d'appréciation, le déni de justice et le retard injustifié (let. a), la constatation incomplète ou erronée des faits (let. b) ou l'inopportunité (let. c). Ce recours constitue un moyen de droit ordinaire à effet dévolutif complet qui permet en principe d'invoquer tous les vices entachant la décision attaquée. L'autorité de recours dispose d'un plein pouvoir d'examen (cf. Message du Conseil fédéral relatif à l'unification du droit de la procédure pénale du 21 décembre 2005, FF 2006 p. 1296; cf. également rapport explicatif relatif à l'avant-projet d'un code de procédure pénale suisse [ci-après: rapport explicatif], OFJ, Berne, juin 2001, ad art. 461 AP-CPP p. 265). Les dispositions générales sur les voies de recours ( art. 379-392 CPP ) ne prévoient aucune réglementation restrictive concernant le sort des faits et moyens de preuve nouveaux. Ainsi, l' art. 385 al. 1 let . c CPP prescrit uniquement au recourant d'indiquer, précisément mais sans autre restriction, les moyens de preuve qu'il invoque. Quant à l' art. 391 al. 2 2 ème phrase CPP, il permet d'infliger une sanction plus sévère à la lumière de faits nouveaux qui ne pouvaient pas être connus du tribunal de première instance. Les dispositions relatives au recours au sens strict ( art. 393-397 CPP ) ne prévoient pas de prescriptions particulières en matière de faits et de moyens de preuve nouveaux. L'avant-projet prescrivait certes que seules étaient recevables les allégations et preuves nouvelles que le recourant n'avait pas été en mesure de produire en première instance (cf. rapport explicatif ad art. 461 AP-CPP p. 266). Cette restriction a cependant été abandonnée dans le texte définitif qui autorise à former recours en cas de constatation incomplète ou erronée des faits, sans autre restriction ( art. 393 al. 2 let. b CPP ). En revanche, une référence aux faits et moyens de preuve nouveaux a été maintenue dans le cadre de la procédure d'appel ( art. 398-409 CPP ): ainsi, lorsque seules des contraventions ont fait l'objet de la procédure de première instance, aucune allégation ou preuve nouvelle ne peut être produite devant l'instance d'appel ( art. 398 al. 4 CPP ). Il s'agit là d'une exception au principe du plein pouvoir d'examen de l'autorité de deuxième instance cantonale qui conduit à qualifier d'"appel restreint" cette voie de droit (Piquerez/Macaluso, Procédure pénale suisse, 3ème éd. 2011, n. 1998; Niels Sörensen, Les voies de recours, in Procédure pénale suisse: approche théorique et mise en ?uvre cantonale, 2010, p. 159 n. 105). Il découle de ce qui précède que le code de procédure pénale a instauré de manière générale des voies de recours permettant à l'autorité cantonale de deuxième instance de disposer d'un plein pouvoir d'examen. Le législateur a renoncé à introduire un régime restrictif en matière d'allégations et de preuves nouvelles, sauf dans le cas très particulier de l' art. 398 al. 4 CPP . Par conséquent, avec la majorité de la doctrine, il faut admettre que le recourant peut produire devant l'instance de recours des faits et des moyens de preuve nouveaux (NIKLAUS SCHMID, Praxiskommentar StPO, 2009, n. 16 ad art. 393 al. 2 CPP ; Idem, Handbuch des schweizerischen Strafprozessrechts, 2009, n. 1512 p. 694 s.; STEPHENSON/THIRIET, in Basler Kommentar, 2011, n. 16 ad art. 393 CPP ; RICHARD CALAME, in Commentaire romand, 2011, n. 22 ad art. 385 CPP ; Jo Pitteloud, Code de procédure pénale suisse, 2012, n. 1154; contra: Niklaus Oberholzer, Grundzüge des Strafprozessrechts, 3ème éd. 2012, n. 1571). Cette conclusion s'impose d'autant plus en l'espèce, s'agissant du contrôle de la détention ( art. 5 al. 2 CPP ).</w:t>
      </w:r>
    </w:p>
    <w:p>
      <w:r>
        <w:rPr>
          <w:b/>
        </w:rPr>
        <w:t>E. 2.2</w:t>
      </w:r>
    </w:p>
    <w:p>
      <w:r>
        <w:t>Dans ces circonstances, la cour cantonale ne pouvait conclure à l'irrecevabilité du recours au motif que les éléments de faits invoqués par le recourant à l'appui de ses conclusions étaient postérieurs à la décision du Tmc. Par ailleurs, contrairement à ce que semble soutenir l'instance précédente, l'autorité de recours n'est pas liée par les conclusions des parties (cf. art. 391 al. 1 let. b CPP ; FF 2006 p. 1293; voir également Christian Coquoz, Les recours pendant la procédure préliminaire, RPS 2010 p. 357). Dès lors, la modification partielle des conclusions par le recourant n'empêchait pas l'instance précédente de se saisir du recours, l'objet du litige demeurant, comme en première instance, l'examen de la demande de libération du recourant, le cas échéant assortie de mesures de substitution adéquates conformément au principe de proportionnalité concrétisé à l' art. 237 CPP .</w:t>
      </w:r>
    </w:p>
    <w:p>
      <w:r>
        <w:rPr>
          <w:b/>
        </w:rPr>
        <w:t>E. 2.3</w:t>
      </w:r>
    </w:p>
    <w:p>
      <w:r>
        <w:t>En définitive, la Cour de justice a violé le droit fédéral en déclarant le recours irrecevable pour les motifs précités.</w:t>
      </w:r>
    </w:p>
    <w:p>
      <w:r>
        <w:rPr>
          <w:b/>
        </w:rPr>
        <w:t>E. 3</w:t>
      </w:r>
    </w:p>
    <w:p>
      <w:r>
        <w:t>Il s'ensuit que le recours doit être admis et l'arrêt attaqué annulé. Il convient de renvoyer la cause à la cour cantonale pour qu'elle statue sur les arguments de fond développés contre l'ordonnance du Tmc du 29 octobre 2012. Il n'appartient pas au Tribunal fédéral d'examiner, à ce stade de la procédure, les griefs de fond également soulevés par le recourant, lesquels sont étrangers au présent litige tel qu'il est circonscrit par la décision entreprise. Il n'y a pas lieu de percevoir de frais judiciaires ( art. 66 al. 4 LTF ). Le canton de Genève versera en revanche des dépens au recourant qui obtient gain de cause avec l'assistance d'un avocat ( art. 68 al. 1 LTF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