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75/2015 vom 7. April 2015</w:t>
      </w:r>
    </w:p>
    <w:p>
      <w:r>
        <w:t>Bundesgericht, 2015-04-07, FR</w:t>
      </w:r>
    </w:p>
    <w:p>
      <w:r>
        <w:rPr>
          <w:b/>
        </w:rPr>
        <w:t xml:space="preserve">Quelle: </w:t>
      </w:r>
      <w:r>
        <w:t>https://mcp.opencaselaw.ch/entscheid/bger_1B_75_2015</w:t>
      </w:r>
    </w:p>
    <w:p>
      <w:r>
        <w:t>FR: TF 1B 75/2015 du 7 avril 2015</w:t>
      </w:r>
    </w:p>
    <w:p>
      <w:r>
        <w:t>IT: TF 1B 75/2015 del 7 aprile 2015</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b ch. 1 LTF, le prévenu - actuellement détenu -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se plaint d'un déni de justice formel et fait valoir une violation des art. 29 al. 1 Cst. et 6 CEDH.</w:t>
      </w:r>
    </w:p>
    <w:p>
      <w:r>
        <w:rPr>
          <w:b/>
        </w:rPr>
        <w:t>E. 2.1</w:t>
      </w:r>
    </w:p>
    <w:p>
      <w:r>
        <w:t>Chaque personne a droit, dans une procédure judiciaire ou administrative, à ce que sa cause soit traitée équitablement et dans un délai raisonnable; elle a le droit d'être entendue ( art. 29 al. 1 et 2 Cst. ). 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p. 9; 134 I 229 consid. 2.3).</w:t>
      </w:r>
    </w:p>
    <w:p>
      <w:r>
        <w:rPr>
          <w:b/>
        </w:rPr>
        <w:t>E. 2.2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2.3</w:t>
      </w:r>
    </w:p>
    <w:p>
      <w:r>
        <w:t>En l'espèce, le recourant reproche à l'instance précédente de ne pas être entrée en matière sur le grief de l'absence de charges suffisantes au sens de l' art. 221 CPP , alors qu'il avait développé une réfutation des principaux arguments retenus par le Tribunal criminel dans son jugement du 6 juin 2014. Il lui fait aussi grief d'avoir écarté de la procédure les pages 3 à 105 de sa requête de mise en liberté. L'instance précédente a retenu qu' "en l'occurrence, il n'y a pas lieu de discuter du caractère suffisant des charges dès lors que, même s'il conteste les faits qui lui sont reprochés, le requérant a été reconnu coupable d'assassinat en première instance, d'autant que ses arguments se recoupent en grande partie avec ceux qui ont déjà été examinés ou écartés par les autorités de contrôle de la détention, soit en dernier lieu par l'arrêt de la Chambre pénale de recours du 26 avril 2013, confirmé par arrêt du Tribunal fédéral 1B_197/2013". Plus loin, la Cour de justice a exposé que "le recourant ne pouvait ignorer que sa demande de libération était vouée à l'échec, ce qui permet effectivement de retenir qu'elle avait pour unique but de verser à la procédure d'appel la partie de sa déclaration d'appel qui en avait été écartée par ordonnance présidentielle du 18 décembre 2014 et de contourner ainsi cette décision, manoeuvre qui est effectivement constitutive d'un abus de droit". En conséquence, la Présidente de la Chambre pénale d'appel et de révision a écarté de la procédure le chapitre intitulé "B. Insuffisance manifeste des charges" figurant sous pages 3 à 105 de la demande de mise en liberté du 23 janvier 2015, "les extraits exclus étant toutefois conservés dans une cote séparée, afin de permettre un éventuel contrôle ultérieur de la présente décision". Partant, l'instance précédente n'a pas examiné les arguments développés par le recourant dans son mémoire pour contester l'existence de charges suffisantes justifiant la détention. Elle s'est contentée de se référer à un arrêt de la Chambre pénale de recours de la Cour de justice du canton de Genève datant de la fin avril 2013, confirmé par le Tribunal fédéral. Or, la cause a évolué en presque deux ans: une commission rogatoire adressée au Guatemala pour entendre certains témoins a été versée au dossier; l'acte d'accusation a été déposé; des débats devant le Tribunal criminel ont eu lieu, avec auditions, administration de preuves et plaidoiries; une condamnation de première instance est intervenue sur une partie des charges retenues. L'instance précédente ne peut, dans ces circonstances, se passer de répondre à un grief soulevé en se référant à un précédent arrêt. En omettant d'examiner l'argumentation du recourant relative aux sérieux soupçons de culpabilité et en écartant de la procédure 102 pages de son mémoire au motif que le recourant ne pouvait "ignorer que sa demande de mise en liberté était vouée à l'échec", l'instance précédente a commis un déni de justice formel prohibé par l' art. 29 al. 1 Cst. L'ordonnance attaquée doit être annulée pour ce motif formel, indépendamment des chances de succès du recours sur le fond. Pour rétablir une situation conforme au droit, il appartiendra à la Cour de justice d'examiner l'existence suffisante de soupçons de culpabilité en prenant en compte les arguments avancés par le recourant dans les pages 3 à 105 de sa requête de mise en liberté, lesquelles doivent être réintégrées à la procédure.</w:t>
      </w:r>
    </w:p>
    <w:p>
      <w:r>
        <w:rPr>
          <w:b/>
        </w:rPr>
        <w:t>E. 2.4</w:t>
      </w:r>
    </w:p>
    <w:p>
      <w:r>
        <w:t>Lorsque le Tribunal fédéral constate que la procédure de mise en détention n'a pas satisfait aux garanties constitutionnelles ou conventionnelles en cause, il n'en résulte pas obligatoirement que le prévenu doive être remis en liberté ( ATF 116 Ia 60 consid. 3b p. 64; 115 Ia 293 consid. 5g p. 308). C'est dès lors à bon droit que le recourant ne demande pas au Tribunal de céans sa mise en liberté immédiate.</w:t>
      </w:r>
    </w:p>
    <w:p>
      <w:r>
        <w:rPr>
          <w:b/>
        </w:rPr>
        <w:t>E. 3</w:t>
      </w:r>
    </w:p>
    <w:p>
      <w:r>
        <w:t>Pour le reste, le recourant fait encore valoir brièvement une violation de l' art. 233 CPP , au motif que la magistrate qui a statué sur sa demande de libération n'est pas investie de la "direction de la procédure" au sens de cette disposition. Fût-il recevable, ce grief pourrait être d'emblée rejeté. En effet, nonobstant le texte de l' art. 233 CPP , il n'est contraire ni au but ni à l'esprit de cette disposition de considérer la direction de la procédure d'appel comme une institution pouvant s'incarner dans des magistrats différents et de distinguer au sein d'une même juridiction les juges qui statuent sur les questions de détention de ceux qui examinent l'affaire au fond ( ATF 139 IV 270 consid. 2 p. 272 s.).</w:t>
      </w:r>
    </w:p>
    <w:p>
      <w:r>
        <w:rPr>
          <w:b/>
        </w:rPr>
        <w:t>E. 4</w:t>
      </w:r>
    </w:p>
    <w:p>
      <w:r>
        <w:t>Il s'ensuit que le recours doit être admis. L'ordonnance attaquée est annulée et la cause est renvoyée à l'instance précédente pour nouvelle décision au sens des considérants. Il n'y a pas lieu de percevoir des frais judiciaires ( art. 66 al. 4 LTF ). Le recourant, qui obtient gain de cause avec l'assistance d'un avocat, a droit à des dépens, à la charge de l'Etat de Genève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