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1B_74/2021 vom 16. Februar 2021</w:t>
      </w:r>
    </w:p>
    <w:p>
      <w:r>
        <w:t>Bundesgericht, 2021-02-16, DE</w:t>
      </w:r>
    </w:p>
    <w:p>
      <w:r>
        <w:rPr>
          <w:b/>
        </w:rPr>
        <w:t xml:space="preserve">Quelle: </w:t>
      </w:r>
      <w:r>
        <w:t>https://mcp.opencaselaw.ch/entscheid/bger_1B_74_2021</w:t>
      </w:r>
    </w:p>
    <w:p>
      <w:r>
        <w:t>FR: TF 1B_74/2021 du 16 février 2021</w:t>
      </w:r>
    </w:p>
    <w:p>
      <w:r>
        <w:t>IT: TF 1B_74/2021 del 16 febbraio 2021</w:t>
      </w:r>
    </w:p>
    <w:p>
      <w:pPr>
        <w:pStyle w:val="Heading2"/>
      </w:pPr>
      <w:r>
        <w:t>Erwägungen</w:t>
      </w:r>
    </w:p>
    <w:p>
      <w:r>
        <w:rPr>
          <w:b/>
        </w:rPr>
        <w:t>E. 1</w:t>
      </w:r>
    </w:p>
    <w:p>
      <w:r>
        <w:t>Angefochten ist ein kantonal letztinstanzlicher Entscheid, mit dem das Obergericht eine Beschwerde gegen die Anordnung eines Ergänzungsgutachtens abgewiesen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2.1</w:t>
      </w:r>
    </w:p>
    <w:p>
      <w:r>
        <w:t>Das Obergericht ist im angefochtenen Entscheid zwar zum Schluss gekommen, dass die Staatsanwaltschaft bei der Ernennung und Beauftragung des Gutachters die dem Beschwerdeführer nach Art. 184 Abs. 3 StPO zustehenden Verfahrensrechte "offenbar systematisch" verletzte. Es hat indessen "aus prozessökonomischen Gründen sowie aufgrund des Fehlens eines entsprechenden Antrages... ausnahmsweise auf eine Rückweisung an die Staatsanwaltschaft" verzichtet (E. 2.2 S. 6) und die Beschwerde abgewiesen mit der Begründung, es seien sämtliche Voraussetzungen für den von der Staatsanwaltschaft erteilten Auftrag zur Erstellung eines psychiatrischen Ergänzungsgutachtens erfüllt (E. 3.5 S. 9).</w:t>
      </w:r>
    </w:p>
    <w:p>
      <w:r>
        <w:rPr>
          <w:b/>
        </w:rPr>
        <w:t>E. 2.2</w:t>
      </w:r>
    </w:p>
    <w:p>
      <w:r>
        <w:t>Der Beschwerdeführer macht geltend, seine Verfahrensrechte seien bei der Einholung sowohl des Gutachtens wie auch des Ergänzungsgutachtens grob verletzt worden. Dazu komme, dass die Staatsanwaltschaft Untersuchungshandlungen durchgeführt habe, als er nicht verteidigt gewesen sei, obwohl er notwendig hätte verteidigt werden müssen. Die Häufung dieser Verfahrensverletzungen könne einen nicht wiedergutzumachenden Nachteil bewirken.</w:t>
      </w:r>
    </w:p>
    <w:p>
      <w:r>
        <w:rPr>
          <w:b/>
        </w:rPr>
        <w:t>E. 2.3</w:t>
      </w:r>
    </w:p>
    <w:p>
      <w:r>
        <w:t>Streitgegenstand des vorinstanzlichen Verfahrens war einzig die umstrittene Anordnung des Ergänzungsgutachtens, dementsprechend kann auch vor Bundesgericht nur diese Frage aufgeworfen werden. Nach dem angefochtenen Entscheid kann das Ergänzungsgutachten gemäss der Verfügung der Staatsanwaltschaft vom 28. August 2020 erstellt werden. Ob es als Beweismittel im Strafverfahren gegen den Beschwerdeführer verwendet werden kann oder wegen Verfahrensfehlern nicht verwertet werden darf, wird das Sachgericht zu entscheiden haben; der Beschwerdeführer kann noch an der Hauptverhandlung Einwände gegen die erhobenen Beweise vorbringen ( Art. 329 Abs. 2 lit. d StPO ). Insofern droht ihm kein nicht wieder gutzumachender Nachteil rechtlicher Natur, wenn die Staatsanwaltschaft ein möglicherweise nicht verwertbares Beweismittel erhebt, selbst wenn dadurch das Verfahren verlängert werden sollte ( BGE 133 IV 139 E. 4 mit Hinweisen; 137 IV 237 E. 1.1)</w:t>
      </w:r>
    </w:p>
    <w:p>
      <w:r>
        <w:rPr>
          <w:b/>
        </w:rPr>
        <w:t>E. 3</w:t>
      </w:r>
    </w:p>
    <w:p>
      <w:r>
        <w:t>Auf die Beschwerde ist im vereinfachten Verfahren nicht einzutreten. Ausgangsgemäss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