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74/2014 vom 7. April 2014</w:t>
      </w:r>
    </w:p>
    <w:p>
      <w:r>
        <w:t>Bundesgericht, 2014-04-07, FR</w:t>
      </w:r>
    </w:p>
    <w:p>
      <w:r>
        <w:rPr>
          <w:b/>
        </w:rPr>
        <w:t xml:space="preserve">Quelle: </w:t>
      </w:r>
      <w:r>
        <w:t>https://mcp.opencaselaw.ch/entscheid/bger_1B_74_2014</w:t>
      </w:r>
    </w:p>
    <w:p>
      <w:r>
        <w:t>FR: TF 1B 74/2014 du 7 avril 2014</w:t>
      </w:r>
    </w:p>
    <w:p>
      <w:r>
        <w:t>IT: TF 1B 74/2014 del 7 aprile 2014</w:t>
      </w:r>
    </w:p>
    <w:p>
      <w:pPr>
        <w:pStyle w:val="Heading2"/>
      </w:pPr>
      <w:r>
        <w:t>Regeste</w:t>
      </w:r>
    </w:p>
    <w:p>
      <w:r>
        <w:t>détention avant jugement; contacts téléphoniques | Procédure pénale</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 ATF 133 IV 335 consid. 2 p. 337). Tel est le cas de la décision attaquée, relative au droit du prévenu en détention provisoire d'avoir des contacts téléphoniques avec ses enfants. Il est vrai que, dans sa décision du 27 septembre 2013, le Ministère public rappelle au prévenu l'interdiction de converser avec ses enfants. On ne saurait toutefois y voir une simple modalité d'exécution de l'autorisation de téléphoner avec son frère, puisqu'il en résulte pour le recourant une interdiction supplémentaire qui, si elle avait été évoquée par la Chambre des recours pénale dans sa précédente décision, n'avait pas encore été formellement signifiée. Le recourant a qualité pour agir ( art. 81 al. 1 LTF ). Le recours est également recevable au regard des art. 90 ss LTF , que l'on considère la décision attaquée comme finale (rendue au terme d'une procédure distincte de l'instruction pénale; art. 90 LTF ) ou comme une décision incidente causant un dommage irréparable ( art. 93 al. 1 LTF ). Le recourant se trouve en effet empêché de téléphoner à ses enfants, ce qui porte une atteinte immédiate et irréparable à son droit aux relations personnelles, quand bien même ces relations pourraient être rétablies par la suite.</w:t>
      </w:r>
    </w:p>
    <w:p>
      <w:r>
        <w:rPr>
          <w:b/>
        </w:rPr>
        <w:t>E. 2</w:t>
      </w:r>
    </w:p>
    <w:p>
      <w:r>
        <w:t>Le recourant se plaint d'une violation de l' art. 80 CPP en relation avec les art. 6 CEDH et 29 al. 2 Cst. Il relève que la décision du Ministère public fait référence à un considérant de l'arrêt de la Chambre pénale de recours du 26 septembre 2013. Cette simple référence ne constituerait pas une motivation suffisante puisque la question des contacts téléphonique est distincte de celle des visites.</w:t>
      </w:r>
    </w:p>
    <w:p>
      <w:r>
        <w:rPr>
          <w:b/>
        </w:rPr>
        <w:t>E. 2.1</w:t>
      </w:r>
    </w:p>
    <w:p>
      <w:r>
        <w:t>Le droit d'être entendu garanti par l' art. 29 al. 2 Cst. implique, notamment, pour l'autorité l'obligation de motiver sa décision. Selon la jurisprudence, il suffit que la décision mentionne, au moins brièvement, les motifs sur lesquels elle se fond,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139 IV 179 consid. 2.2 p. 183).</w:t>
      </w:r>
    </w:p>
    <w:p>
      <w:r>
        <w:rPr>
          <w:b/>
        </w:rPr>
        <w:t>E. 2.2</w:t>
      </w:r>
    </w:p>
    <w:p>
      <w:r>
        <w:t>La décision du Ministère public fait expressément référence à un arrêt de la Cour de justice rendu à l'égard du recourant le 26 septembre 2013, en particulier à la fin du consid. 2.2 de cet arrêt, ainsi rédigé: "... le prévenu a la possibilité ... d'avoir des contacts téléphoniques avec sa famille, contacts à propos desquels le Ministère public serait, du reste, bien inspiré de prendre les mesures nécessaires pour que le prévenu ne soit plus en mesure de converser avec [les deux enfants concernés], sauf à vider de leur sens l'ordonnance querellée et le présent arrêt". Il en ressort clairement que la décision querellée, qui se réfère expressément à une décision connue du recourant, est fondée sur l'existence du même risque de collusion que celui qui a fondé l'interdiction de visites. Cela constitue une motivation suffisante, que le recourant pouvait contester en toute connaissance de cause. Le grief doit dès lors être écarté.</w:t>
      </w:r>
    </w:p>
    <w:p>
      <w:r>
        <w:rPr>
          <w:b/>
        </w:rPr>
        <w:t>E. 3</w:t>
      </w:r>
    </w:p>
    <w:p>
      <w:r>
        <w:t>Sur le fond, le recourant invoque l' art. 235 al. 1 CPP en relation avec les art. 8 CEDH , 13 et 36 Cst. Il rappelle l'importance des contacts avec l'extérieur pour les prévenus en détention provisoire. Il relève que, selon la cour cantonale, on ignore la teneur des propos échangés avec ses enfants lors des précédents téléphones. Ces conversations n'auraient donné lieu à aucune modification dans les déclarations des enfants. Le recourant n'aurait pas non plus tenté de faire pression sur ceux-ci dans son courrier. Le risque de collusion retenu à l'égard des visites ne serait pas le même pour des conversations téléphoniques de quelques minutes. Dans ces conditions, le droit à la vie familiale devrait prévaloir. Invoquant l' art. 237 CPP , le recourant demande à titre subsidiaire que les conversations aient lieu en français et fassent l'objet de mesures de surveillance.</w:t>
      </w:r>
    </w:p>
    <w:p>
      <w:r>
        <w:rPr>
          <w:b/>
        </w:rPr>
        <w:t>E. 3.1</w:t>
      </w:r>
    </w:p>
    <w:p>
      <w:r>
        <w:t>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w:t>
      </w:r>
    </w:p>
    <w:p>
      <w:r>
        <w:rPr>
          <w:b/>
        </w:rPr>
        <w:t>E. 3.2</w:t>
      </w:r>
    </w:p>
    <w:p>
      <w:r>
        <w:t>La garantie de la liberté personnelle ( art. 10 al. 1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l'Etat. Conformément aux exigences de l' art. 36 Cst. , les restrictions à ce droit doivent reposer sur une base légale et ne pas aller au-delà de ce qui est nécessaire au but de l'incarcération ( ATF 119 Ia 505 consid. 3b p. 507; 118 Ia 64 consid. 2d p. 73). Les exigences inhérentes au but de la détention doivent être examinées dans chaque cas, les restrictions imposées pouvant être d'autant plus sévères que le risque, notamment de collusion, apparaît élevé ( ATF 118 Ia 64 consid. 2d p. 73 et les arrêts cités). Par analogie avec la détention provisoire, le risque de collusion doit, pour faire échec au droit de visite des proches, présenter une certaine vraisemblance ( ATF 123 I 31 consid. 3c p. 36, 117 Ia 257 consid. 4c p. 261), et l'autorité doit indiquer, au moins dans les grandes lignes, en quoi l'exercice de ce droit pourrait compromettre les résultats de l'enquête (cf. ATF 123 I 31 consid. 2b p. 33/34, 116 Ia 149 consid. 5 p. 152).</w:t>
      </w:r>
    </w:p>
    <w:p>
      <w:r>
        <w:rPr>
          <w:b/>
        </w:rPr>
        <w:t>E. 3.3</w:t>
      </w:r>
    </w:p>
    <w:p>
      <w:r>
        <w:t>Contrairement à ce que soutient le recourant, le risque de collusion retenu dans la précédente décision du Ministère public et confirmé sur recours par la cour cantonale et le Tribunal fédéral, n'est pas sensiblement moindre lors d'une conversation téléphonique qu'à l'occasion d'une visite. L'existence d'un conflit de loyauté a été constatée dans les précédentes décisions. Dans son arrêt du 18 décembre 2013, le Tribunal fédéral a considéré que "même si le recourant n'a pas profité de ses contacts téléphoniques pour tenter de les influencer, il est à craindre qu'une rencontre en milieu carcéral suscite des sentiments propres à conduire les enfants (uniques témoins des faits) à revenir sur les déclarations qui incriminent le recourant". La première partie de cette phrase constitue une simple hypothèse dont le recourant ne saurait tirer avantage. Dès lors que le droit de visite lui a été refusé, il est à craindre que le recourant ne mette à profit des conversations téléphoniques pour tenter d'influencer ses enfants en leur faisant comprendre qu'un changement dans leurs déclarations pourrait lui être favorable, ou de manière plus indirecte en s'apitoyant sur son sort. Compte tenu de l'âge des enfants (huit et dix ans), du fait qu'ils sont seuls témoins et que leurs déclarations ont une importance décisive pour la peine susceptible d'être prononcée contre le recourant, le risque de manipulation apparaît réel.</w:t>
      </w:r>
    </w:p>
    <w:p>
      <w:r>
        <w:rPr>
          <w:b/>
        </w:rPr>
        <w:t>E. 3.4</w:t>
      </w:r>
    </w:p>
    <w:p>
      <w:r>
        <w:t>Comme le relève la cour cantonale, une surveillance des conversations - y compris en français - n'entre pas en considération dès lors que, au contraire du courrier qui fait l'objet d'une censure préalable, les effets d'une tentative de manipulation lors d'une conversation téléphonique ne pourrait pas être réparés par une intervention a posteriori. Il n'y a dès lors pas de violation de l' art. 237 CPP ou du principe de la proportionnalité. Dans le cadre de la pesée des intérêts, le besoin de contact des enfants avec leur père doit lui aussi être pris en considération. Toutefois, les enfants du recourant sont actuellement représentés par un curateur, lequel s'est déjà opposé au droit de visite et n'a pas requis en leur nom d'autorisation de téléphoner.</w:t>
      </w:r>
    </w:p>
    <w:p>
      <w:r>
        <w:rPr>
          <w:b/>
        </w:rPr>
        <w:t>E. 4</w:t>
      </w:r>
    </w:p>
    <w:p>
      <w:r>
        <w:t>Compte tenu de ce qui précède, le recours doit être rejeté. Le recourant a demandé l'assistance judiciaire, et les conditions en paraissent réunies. Me Yaël Hayat est désignée comme avocate d'office, rétribuée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