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1B_74/2011 vom 27. April 2011</w:t>
      </w:r>
    </w:p>
    <w:p>
      <w:r>
        <w:t>Bundesgericht, 2011-04-27, DE</w:t>
      </w:r>
    </w:p>
    <w:p>
      <w:r>
        <w:rPr>
          <w:b/>
        </w:rPr>
        <w:t xml:space="preserve">Quelle: </w:t>
      </w:r>
      <w:r>
        <w:t>https://mcp.opencaselaw.ch/entscheid/bger_1B_74_2011</w:t>
      </w:r>
    </w:p>
    <w:p>
      <w:r>
        <w:t>FR: TF 1B_74/2011 du 27 avril 2011</w:t>
      </w:r>
    </w:p>
    <w:p>
      <w:r>
        <w:t>IT: TF 1B_74/2011 del 27 aprile 2011</w:t>
      </w:r>
    </w:p>
    <w:p>
      <w:pPr>
        <w:pStyle w:val="Heading2"/>
      </w:pPr>
      <w:r>
        <w:t>Erwägungen</w:t>
      </w:r>
    </w:p>
    <w:p>
      <w:r>
        <w:rPr>
          <w:b/>
        </w:rPr>
        <w:t>E. 1</w:t>
      </w:r>
    </w:p>
    <w:p>
      <w:r>
        <w:t>Der angefochtene Entscheid bestätigt, dass das von der Beschwerdeführerin angestrebte Strafverfahren eingestellt bleibt. Er schliesst damit das Verfahren ab. Es handelt sich um den Endentscheid einer letzten kantonalen Instanz in einer Strafsache, gegen den die Beschwerde in Strafsachen zulässig ist ( Art. 78 Abs. 1, Art. 80 Abs. 1, Art. 90 BGG ). Die übrigen Sachurteilsvoraussetzungen geben zu keinen Bemerkungen Anlass, sodass auf die Beschwerde einzutreten ist, sofern die Beschwerdeführerin befugt ist, sie zu erheben.</w:t>
      </w:r>
    </w:p>
    <w:p>
      <w:r>
        <w:rPr>
          <w:b/>
        </w:rPr>
        <w:t>E. 2.1</w:t>
      </w:r>
    </w:p>
    <w:p>
      <w:r>
        <w:t>Der erste Entscheid in dieser Sache erging am 5. Oktober 2010 nach der bis Ende 2010 in Kraft stehenden Strafprozessordnung des Kantons Graubünden vom 8. Juni 1958 (StPO/GR). Am 1. Januar 2011 trat die Schweizerische Strafprozessordnung vom 5. Oktober 2007 (StPO; SR 312.0) in Kraft (AS 2010 1881), welche die kantonalen Strafprozessordnungen ablöst. Nach der einschlägigen Übergangsbestimmung von Art. 453 Abs. 1 StPO ist auf Rechtsmittel gegen vor dem 1. Januar 2011 gefällte Entscheide das bisherige Recht anwendbar. Das Kantonsgericht beurteilte die Beschwerde am 10. Januar 2011 daher zu Recht nach den Bestimmungen der StPO/GR, welche auch für die vorliegende Beschwerde massgebend sind ( Art. 454 Abs. 2 StPO ).</w:t>
      </w:r>
    </w:p>
    <w:p>
      <w:r>
        <w:rPr>
          <w:b/>
        </w:rPr>
        <w:t>E. 2.2</w:t>
      </w:r>
    </w:p>
    <w:p>
      <w:r>
        <w:t>Vor der Einführung der Schweizerischen Strafprozessordung hatte die Beschwerdeführerin als Geschädigte nach konstanter Rechtsprechung kein rechtlich geschütztes Interesse, die Einstellung eines Strafverfahrens in der Sache anzufechten, da der Strafanspruch dem Staat zusteht. Trotz fehlender Legitimation in der Sache konnte die Beschwerdeführerin indessen in jedem Fall die auf eine formelle Rechtsverweigerung hinauslaufende Verletzung von Parteirechten rügen ("Star-Praxis"; BGE 133 I 185 E. 6.2 S. 198).</w:t>
      </w:r>
    </w:p>
    <w:p>
      <w:r>
        <w:rPr>
          <w:b/>
        </w:rPr>
        <w:t>E. 2.3</w:t>
      </w:r>
    </w:p>
    <w:p>
      <w:r>
        <w:t>Nach Art. 82 Abs. 1 und 2 StPO /GR kann der Untersuchungsrichter ein Strafverfahren mit Genehmigung der Staatsanwaltschaft einstellen, wenn das Vorliegen eines Straftatbestandes nicht genügend dargetan ist. Das Kantonsgericht hält diese Voraussetzungen im angefochtenen Entscheid für erfüllt und dementsprechend die angefochtene Verfahrenseinstellung für rechtens.</w:t>
      </w:r>
    </w:p>
    <w:p>
      <w:r>
        <w:t>Die Beschwerdeführerin legt in der Beschwerde einzig dar, dass die Verfahrenseinstellung aus ihrer Sicht sachlich verfehlt ist. Dazu ist sie nicht befugt. Verfahrensrügen im Sinn der oben erwähnten "Star-Praxis" erhebt sie keine.</w:t>
      </w:r>
    </w:p>
    <w:p>
      <w:r>
        <w:rPr>
          <w:b/>
        </w:rPr>
        <w:t>E. 3</w:t>
      </w:r>
    </w:p>
    <w:p>
      <w:r>
        <w:t>Auf die Beschwerde ist somit mangels Legitimation der Beschwerdeführerin nicht einzutreten. Bei diesem Ausgang des Verfahrens trägt die Beschwerdeführerin die Gerichtskosten ( Art. 66 Abs. 1 BGG ). Sie hat ausserdem dem obsiegenden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