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1B_73/2019 vom 1. März 2019</w:t>
      </w:r>
    </w:p>
    <w:p>
      <w:r>
        <w:t>Bundesgericht, 2019-03-01, FR</w:t>
      </w:r>
    </w:p>
    <w:p>
      <w:r>
        <w:rPr>
          <w:b/>
        </w:rPr>
        <w:t xml:space="preserve">Quelle: </w:t>
      </w:r>
      <w:r>
        <w:t>https://mcp.opencaselaw.ch/entscheid/bger_1B_73_2019</w:t>
      </w:r>
    </w:p>
    <w:p>
      <w:r>
        <w:t>FR: TF 1B_73/2019 du 1 mars 2019</w:t>
      </w:r>
    </w:p>
    <w:p>
      <w:r>
        <w:t>IT: TF 1B_73/2019 del 1 marzo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ne remet pas en cause le risque de fuite retenu, respectivement le défaut de mesures de substitution propres à le pallier.</w:t>
      </w:r>
    </w:p>
    <w:p>
      <w:r>
        <w:t>Il reproche en revanche à l'autorité précédente d'avoir considéré qu'il existerait des soupçons suffisants de la commission d'infractions permettant son placement en détention pour des motifs de sûreté.</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1B_548/2018 du 8 janvier 2019 consid. 3.1).</w:t>
      </w:r>
    </w:p>
    <w:p>
      <w:r>
        <w:rPr>
          <w:b/>
        </w:rPr>
        <w:t>E. 2.2</w:t>
      </w:r>
    </w:p>
    <w:p>
      <w:r>
        <w:t>Selon l' art. 5 al. 1 LEI (art. 5 al. 1 aLEtr), pour entrer en Suisse, tout étranger doit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w:t>
      </w:r>
    </w:p>
    <w:p>
      <w:r>
        <w:t>bis CP ou 49a ou 49a</w:t>
      </w:r>
    </w:p>
    <w:p>
      <w:r>
        <w:t>bis du Code pénal militaire du 13 juin 1927 (CPM; RS 321.0; let. d). S'il prévoit un séjour temporaire, il doit apporter la garantie qu'il quittera la Suisse ( art. 5 al. 2 LEI et 5 al. 2 aLEtr).</w:t>
      </w:r>
    </w:p>
    <w:p>
      <w:r>
        <w:t>L' art. 115 al. 1 let. a LEI (art. 115 al. let. a aLEtr) prévoit qu'est puni d'une peine privative de liberté d'un an au plus ou d'une peine pécuniaire quiconque contrevient aux dispositions sur l'entrée en Suisse ( art. 5 LEI ).</w:t>
      </w:r>
    </w:p>
    <w:p>
      <w:r>
        <w:rPr>
          <w:b/>
        </w:rPr>
        <w:t>E. 2.3</w:t>
      </w:r>
    </w:p>
    <w:p>
      <w:r>
        <w:t>Celui qui, pour se procurer ou procurer à un tiers un enrichissement illégitime, aura soustrait une chose mobilière appartenant à autrui dans le but de se l'approprier sera puni d'une peine privative de liberté de cinq ans au plus ou d'une peine pécuniaire ( art. 139 ch. 1 CP ). Le vol sera puni d'une peine privative de liberté de six mois à dix ans, si son auteur l'a commis en qualité d'affilié à une bande formée pour commettre des brigandages ou des vols ( art. 139 ch. 3 al. 2 CP ).</w:t>
      </w:r>
    </w:p>
    <w:p>
      <w:r>
        <w:t>Selon la jurisprudence, on parle de bande lorsque deux ou plusieurs auteurs manifestent, expressément ou par actes concluants, la volonté de s'associer en vue de commettre un nombre déterminé ou non d'infractions, même s'ils n'ont pas de plan et que les infractions futures ne sont pas encore déterminées.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 ATF 135 IV 158 consid. 2 et 3 p. 158 ss; arrêts 6B_461/2018 du 24 janvier 2019 consid. 9.6.2; 6B_1145/2016 du 7 avril 2017 consid. 1.3 et les arrêts cités).</w:t>
      </w:r>
    </w:p>
    <w:p>
      <w:r>
        <w:t>En application de l' art. 172ter CP , si l'acte ne visait qu'un élément patrimonial de faible valeur ou un dommage de moindre importance, l'auteur sera, sur plainte, puni d'une amende (al. 1); cette disposition n'est pas applicable au vol qualifié ( art. 139 ch. 2 et 3 CP ), au brigandage ainsi qu'à l'extorsion et au chantage (al. 2). Un élément patrimonial est de faible valeur au sens de cette disposition s'il ne dépasse pas 300 fr. ( ATF 142 IV 129 consid. 3.1 p. 133).</w:t>
      </w:r>
    </w:p>
    <w:p>
      <w:r>
        <w:rPr>
          <w:b/>
        </w:rPr>
        <w:t>E. 2.4</w:t>
      </w:r>
    </w:p>
    <w:p>
      <w:r>
        <w:t>La cour cantonale a retenu que le recourant ne contestait pas qu'il existait de forts soupçons d'infraction à la LEI, étant entré en Suisse sans disposer de moyens financiers; il ne prétendait d'ailleurs pas avoir eu de tels moyens (cf. consid. 2.3 p. 6). Elle a ensuite relevé que le vol commis par le recourant ne portait que sur cinq bouteilles de whisky d'une valeur inférieure à 300 fr.; l'application de l' art. 172ter CP n'entrait cependant pas en considération si l'acte incriminé relevait du vol en bande (cf. consid. 2.3 p. 6 s.), ce que le mode opératoire utilisé - agissement de concert avec un certain degré d'organisation - semblait démontrer (déplacement de cinq bouteilles de whisky par C.________ - auteur de nombreux vols à l'étalage en 2018, condamné à Berne en novembre 2018 et faisant l'objet de sept interdictions d'entrée dans les magasins de la chaîne concernée - dans un emplacement non surveillé par les caméras, comportement étrange de celui-ci afin vraisemblablement de détourner l'attention, récupération des cinq bouteilles par le recourant, passage en caisse de C.________ avec un paquet de chips et une bouteille d'eau, puis attente en compagnie du troisième comparse - qui avait lui-même dans l'intervalle dérobé deux bouteilles de whisky - du recourant à la sortie du magasin [cf. consid. 3.3 p. 8]).</w:t>
      </w:r>
    </w:p>
    <w:p>
      <w:r>
        <w:rPr>
          <w:b/>
        </w:rPr>
        <w:t>E. 2.5</w:t>
      </w:r>
    </w:p>
    <w:p>
      <w:r>
        <w:t>Ce raisonnement ne prête pas le flanc à la critique et le recourant ne développe aucun élément propre à le remettre en cause. En particulier, il y a lieu de relever qu'il a été renvoyé en jugement pour les deux infractions contestées par acte d'accusation du 13 décembre 2018, le Ministère public n'ayant pas estimé au terme de l'instruction que certaines charges devraient être abandonnées.</w:t>
      </w:r>
    </w:p>
    <w:p>
      <w:r>
        <w:t>En outre, le recourant ne conteste pas être venu en Suisse sans disposer de ressources financières. N'ayant pas soutenu détenir un titre de transport ou des contacts en Suisse lui permettant de continuer son prétendu voyage vers l'Italie, il apparaît qu'en l'état, le recourant ne paraît pas disposer des moyens lui permettant d'assurer notamment ses besoins (en particulier pour se nourrir et se loger) durant son - certes peut-être court - "passage" sur le territoire suisse. Partant, la cour cantonale pouvait, sans violer le droit fédéral, considérer qu'il existe à ce stade de forts soupçons de la commission d'une infraction à l' art. 115 al. 1 let. a LEI en lien avec l' art. 5 al. 1 let. b LEI .</w:t>
      </w:r>
    </w:p>
    <w:p>
      <w:r>
        <w:t>Le recourant a ensuite reconnu les vols commis. Il soutient toutefois que ceux-ci n'auraient pas été réalisés en bande ( art. 139 ch. 3 al. 2 CP ) et devraient donc - eu égard à leur valeur - être considérés comme des vols de peu d'importance ( art. 172ter CP ). Il ne développe cependant aucune argumentation visant à contester le mode opératoire relevé par la cour cantonale. Celui-ci paraît démontrer une organisation antérieure - certes peut-être effectuée uniquement dans le train depuis la France -, notamment afin de répartir les rôles lors du vol (cf. en particulier le déplacement des bouteilles par l'un, la reprise par un autre de celles-ci, le détournement de l'attention des vendeurs par l'achat de quelques biens et le rassemblement ultérieur des comparses). L'hypothèse d'une coordination entre les trois prévenus semble en outre renforcée par les antécédents du prévenu C.________ en matière de vol à l'étalage. Vu l'absence de moyen financier pour subvenir à ses besoins en Suisse et/ou afin de pouvoir poursuivre le prétendu voyage pour l'Italie, il ne paraît pas non plus exclu que le recourant ait pu avoir la volonté de s'associer avec les deux autres prévenus pour commettre d'autre (s) infraction (s) dans le futur. Au regard de ces éléments, la circonstance aggravante d'un vol en bande paraît pouvoir, dans le cadre de l'examen de la détention avant jugement, entrer en considération. Peu importe donc en l'état la nature des objets dérobés (sept bouteilles de whisky) et la valeur de ceux-ci (254 fr. 65). L'autorité précédente ne viole donc pas non plus le droit fédéral en retenant une présomption suffisante de la commission de l'infraction de vol en bande ( art. 139 ch. 3 al. 2 CP ).</w:t>
      </w:r>
    </w:p>
    <w:p>
      <w:r>
        <w:rPr>
          <w:b/>
        </w:rPr>
        <w:t>E. 3</w:t>
      </w:r>
    </w:p>
    <w:p>
      <w:r>
        <w:t>Invoquant l' art. 212 al. 3 CPP , le recourant se plaint d'une violation du principe de proportionnalité, notamment eu égard à la durée de la détention avant jugement.</w:t>
      </w:r>
    </w:p>
    <w:p>
      <w:r>
        <w:t>Il soutient tout d'abord que l'autorité précédente aurait fixé la quotité de la peine de manière à lier le juge du fond. Ce grief est manifestement dénué de tout fondement. L'autorité de jugement semble d'autant moins liée en l'occurrence que le recourant conteste les chefs d'infraction qui lui sont reprochés. Celui-ci pourra d'ailleurs faire valoir devant le tribunal de première instance ses griefs à cet égard, respectivement les conséquences qui pourraient en découler lors de la fixation de la peine.</w:t>
      </w:r>
    </w:p>
    <w:p>
      <w:r>
        <w:t>On ne saurait ensuite reprocher à l'autorité précédente d'avoir pris comme critères pour évaluer la peine prévisible les chefs d'infractions retenus lors de son examen des soupçons suffisants ( art. 115 al. 1 let. a LEI et art. 139 ch. 3 al. 2 CP ), les règles en matière de concours ( art. 49 al. 1 CP ) et le casier judiciaire du prévenu en cause (dénué d'inscription en l'occurrence). Ne s'écartant finalement que d'un mois de la peine menace minimum en cas de vol en bande (six mois), l'estimation de la cour cantonale (7 mois) - qui peut certes déplaire au recourant - paraît ainsi prendre en considération tant le concours d'infractions que la valeur des objets dérobés; cette appréciation correspond au demeurant à la peine requise par le Ministère public, élément qui constitue également un indice de la peine encourue.</w:t>
      </w:r>
    </w:p>
    <w:p>
      <w:r>
        <w:t>La juridiction précédente, afin de préserver au mieux les intérêts du recourant, a aussi vérifié la durée de la détention subie jusqu'à la date fixée par le Tmc (13 avril 2019), soit quelques jours après l'audience de jugement agendée au 9 avril 2019. Elle en a déduit que la durée de la détention avant jugement (4 mois et 23 jours) n'était alors pas encore très proche de la peine encourue (7 mois), appréciation qui ne prête pas le flanc à la critique. Selon la cour cantonale, ce raisonnement valait même dans l'hypothèse où les jours de détention subis dans des conditions illicites, tels que reconnus par le Ministère public, devraient être déduits - à titre de réparation - de la peine qui serait prononcée; le solde avoisinerait alors environ 6 mois. C'est le lieu toutefois de rappeler que le mode et l'étendue d'une telle réparation sont laissés à l'appréciation du juge du fond ( ATF 142 IV 245 consid. 4.1 p. 248; arrêts 6B_1015/2016 du 27 octobre 2017 consid. 7.1.1; 6B_1395/2016 du 27 octobre 2017 consid. 1.3).</w:t>
      </w:r>
    </w:p>
    <w:p>
      <w:r>
        <w:t>Au regard de ces considérations, la durée de la détention avant jugement eu égard à la peine concrètement encourue vu les deux chefs de prévention pouvant entrer en considération ne viole pas le principe de proportionnalité et ce grief peut être écarté.</w:t>
      </w:r>
    </w:p>
    <w:p>
      <w:r>
        <w:rPr>
          <w:b/>
        </w:rPr>
        <w:t>E. 4</w:t>
      </w:r>
    </w:p>
    <w:p>
      <w:r>
        <w:t>Il s'ensuit que le recours est rejeté.</w:t>
      </w:r>
    </w:p>
    <w:p>
      <w:r>
        <w:t>Le recourant a demandé l'octroi de l'assistance judiciaire ( art. 64 al. 1 LTF ). Comme le recours n'était pas d'emblée dénué de chances de succès, cette requête doit être admise. Il y a lieu de désigner Me Anne-Claire Boudry en tant qu'avocate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