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1B_73/2016 vom 1. März 2016</w:t>
      </w:r>
    </w:p>
    <w:p>
      <w:r>
        <w:t>Bundesgericht, 2016-03-01, DE</w:t>
      </w:r>
    </w:p>
    <w:p>
      <w:r>
        <w:rPr>
          <w:b/>
        </w:rPr>
        <w:t xml:space="preserve">Quelle: </w:t>
      </w:r>
      <w:r>
        <w:t>https://mcp.opencaselaw.ch/entscheid/bger_1B_73_2016</w:t>
      </w:r>
    </w:p>
    <w:p>
      <w:r>
        <w:t>FR: TF 1B_73/2016 du 1 mars 2016</w:t>
      </w:r>
    </w:p>
    <w:p>
      <w:r>
        <w:t>IT: TF 1B_73/2016 del 1 marzo 2016</w:t>
      </w:r>
    </w:p>
    <w:p>
      <w:pPr>
        <w:pStyle w:val="Heading2"/>
      </w:pPr>
      <w:r>
        <w:t>Erwägungen</w:t>
      </w:r>
    </w:p>
    <w:p>
      <w:r>
        <w:rPr>
          <w:b/>
        </w:rPr>
        <w:t>E. 1</w:t>
      </w:r>
    </w:p>
    <w:p>
      <w:r>
        <w:t>A.________ erhob gegen die Nichtanhandnahmeverfügung der Regionalen Staatsanwaltschaft Berner Jura-Seeland vom 7. Dezember 2015 Beschwerde. Mit Verfügung vom 18. Februar 2016 wies die Beschwerdekammer in Strafsachen des Obergerichts des Kantons Bern das Gesuch von A.________ um unentgeltliche Rechtspflege infolge Aussichtslosigkeit der Beschwerde ab. Die Beschwerdekammer führte zusammenfassend aus, die Staatsanwaltschaft habe in der angefochtenen Verfügung nachvollziehbar dargelegt, weshalb der Tatbestand des Betruges offensichtlich nicht erfüllt sei. Die gegen die Nichtanhandnahmeverfügung eingereichte Beschwerde erscheine nach vorläufiger Einschätzung als aussichtslos.</w:t>
      </w:r>
    </w:p>
    <w:p>
      <w:r>
        <w:rPr>
          <w:b/>
        </w:rPr>
        <w:t>E. 2</w:t>
      </w:r>
    </w:p>
    <w:p>
      <w:r>
        <w:t>Mit Eingabe vom 20. Februar 2016 (Postaufgabe 23. Februar 2016) führt A.________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legt nicht dar, inwiefern die Auffassung der Beschwerdekammer in Strafsachen, die Beschwerde gegen die Nichtanhandnahmeverfügung erscheine aussichtslos, rechts- bzw. verfassungswidrig sein soll. Der Beschwerdeführer vermag daher nicht aufzuzeigen, dass die Abweisung des Gesuchs um unentgeltliche Rechtspflege rechts- bzw. verfassungswidrig sei.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