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1B_73/2012 vom 3. April 2012</w:t>
      </w:r>
    </w:p>
    <w:p>
      <w:r>
        <w:t>Bundesgericht, 2012-04-03, DE</w:t>
      </w:r>
    </w:p>
    <w:p>
      <w:r>
        <w:rPr>
          <w:b/>
        </w:rPr>
        <w:t xml:space="preserve">Quelle: </w:t>
      </w:r>
      <w:r>
        <w:t>https://mcp.opencaselaw.ch/entscheid/bger_1B_73_2012</w:t>
      </w:r>
    </w:p>
    <w:p>
      <w:r>
        <w:t>FR: TF 1B_73/2012 du 3 avril 2012</w:t>
      </w:r>
    </w:p>
    <w:p>
      <w:r>
        <w:t>IT: TF 1B_73/2012 del 3 aprile 2012</w:t>
      </w:r>
    </w:p>
    <w:p>
      <w:pPr>
        <w:pStyle w:val="Heading2"/>
      </w:pPr>
      <w:r>
        <w:t>Erwägungen</w:t>
      </w:r>
    </w:p>
    <w:p>
      <w:r>
        <w:rPr>
          <w:b/>
        </w:rPr>
        <w:t>E. 1.1</w:t>
      </w:r>
    </w:p>
    <w:p>
      <w:r>
        <w:t>Mit dem angefochtenen Beschluss trat die Vorinstanz auf eine Beschwerde des Beschwerdeführers gegen die Abweisung von Beweisanträgen durch die Staatsanwaltschaft nicht ein, auferlegte dem Beschwerdeführer die Verfahrenskosten und verweigerte ihm die unentgeltliche Rechtspflege. Der Beschluss schliesst das Strafverfahren gegen den Beschwerdeführer nicht ab; es handelt sich daher um einen selbstständig eröffneten Zwischenentscheid. Gegen einen Zwischenentscheid, der weder die Zuständigkeit noch den Ausstand betrifft (vgl. Art. 92 BGG ), ist die Beschwerde ans Bundesgericht gemäss Art. 93 Abs. 1 BGG zulässig, wenn der Entscheid einen nicht wieder gutzumachenden Nachteil bewirken kann (lit. a) oder - was indes hier von vorneherein ausser Betracht fällt - wenn die Gutheissung der Beschwerde sofort einen Endentscheid herbeiführen und damit einen bedeutenden Aufwand an Zeit oder Kosten für ein weitläufiges Beweisverfahren ersparen würde (lit. b). Soweit der Zwischenentscheid mit Beschwerde in Strafsachen anzufechten ist, muss der nicht wieder gutzumachende Nachteil im Sinne von Art. 93 Abs. 1 lit. a BGG nicht bloss tatsächlicher, sondern rechtlicher Natur sein. Dabei ist es Sache des Beschwerdeführers darzutun, dass die Voraussetzungen von Art. 93 Abs. 1 lit. a BGG erfüllt sind, sofern dies nicht offenkundig ist ( BGE 133 III 629 E. 2.3 S. 632).</w:t>
      </w:r>
    </w:p>
    <w:p>
      <w:r>
        <w:rPr>
          <w:b/>
        </w:rPr>
        <w:t>E. 1.2</w:t>
      </w:r>
    </w:p>
    <w:p>
      <w:r>
        <w:t>Der Beschwerdeführer legt nicht dar und es ist auch nicht ersichtlich, dass der angefochtene Entscheid einen nicht wieder gutzumachenden Nachteil bewirken kann. Zwar kann nach der Rechtsprechung die Verweigerung der unentgeltlichen Rechtspflege mit irreparablen Nachteilen verbunden sein ( BGE 133 IV 335 E. 4 S. 338). Mit dem angefochtenen Beschluss wurde die amtliche Verteidigung einzig fürs Beschwerdeverfahren betreffend die Abweisung von Beweisanträgen verweigert; der Entscheid bezieht sich hingegen nicht aufs Hauptverfahren. Da das kantonale Beschwerdeverfahren abgeschlossen ist, droht nicht die Gefahr, dass der Beschwerdeführer durch die Verweigerung der unentgeltlichen Rechtspflege seine Rechte nicht wahrnehmen kann. Vielmehr geht es - wie auch der Antrag des Beschwerdeführers auf Rückweisung der Sache an die Vorinstanz zur Feststellung des Zeitaufwands des Rechtsvertreters für das Beschwerdeverfahren deutlich macht - einzig um die nachträglich zu beantwortende Frage, von wem der Rechtsvertreter für sein Tätigwerden im Beschwerdeverfahren honoriert wird. Dem Beschwerdeführer steht es offen, seine Rügen der zu Unrecht verweigerten unentgeltlichen Rechtspflege und der rechtswidrigen Kostenauflage mit Beschwerde gegen den Endentscheid vorzubringen ( Art. 93 Abs. 3 BGG ). Sollte das kantonale Verfahren mit einem für ihn günstigen Entscheid enden, können die beiden streitigen Punkte unmittelbar im Anschluss an den unterinstanzlichen Entscheid mit Beschwerde beim Bundesgericht angefochten werden (vgl. zum Ganzen BGE 133 V 645 E. 2.2. S. 647 f.).</w:t>
      </w:r>
    </w:p>
    <w:p>
      <w:r>
        <w:rPr>
          <w:b/>
        </w:rPr>
        <w:t>E. 2</w:t>
      </w:r>
    </w:p>
    <w:p>
      <w:r>
        <w:t>Nach dem Gesagten kann der angefochtene Zwischenentscheid für den Beschwerdeführer keinen nicht wieder gutzumachenden Nachteil im Sinne von Art. 93 Abs. 1 lit. a BGG bewirken. Auf die Beschwerde ist daher nicht einzutreten. Das Gesuch um unentgeltliche Rechtspflege ist wegen Aussichtslosigkeit der Rechtsbegehren abzuweisen ( Art. 64 BGG ). Der finanziellen Lage des Beschwerdeführers ist mit herabgesetzten Gerichtskosten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