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1B_72/2018 vom 23. März 2018</w:t>
      </w:r>
    </w:p>
    <w:p>
      <w:r>
        <w:t>Bundesgericht, 2018-03-23, FR</w:t>
      </w:r>
    </w:p>
    <w:p>
      <w:r>
        <w:rPr>
          <w:b/>
        </w:rPr>
        <w:t xml:space="preserve">Quelle: </w:t>
      </w:r>
      <w:r>
        <w:t>https://mcp.opencaselaw.ch/entscheid/bger_1B_72_2018</w:t>
      </w:r>
    </w:p>
    <w:p>
      <w:r>
        <w:t>FR: TF 1B_72/2018 du 23 mars 2018</w:t>
      </w:r>
    </w:p>
    <w:p>
      <w:r>
        <w:t>IT: TF 1B_72/2018 del 23 marzo 2018</w:t>
      </w:r>
    </w:p>
    <w:p>
      <w:pPr>
        <w:pStyle w:val="Heading2"/>
      </w:pPr>
      <w:r>
        <w:t>Erwägungen</w:t>
      </w:r>
    </w:p>
    <w:p>
      <w:r>
        <w:rPr>
          <w:b/>
        </w:rPr>
        <w:t>E. 1</w:t>
      </w:r>
    </w:p>
    <w:p>
      <w:r>
        <w:t>Selon l' art. 78 LTF , le recours en matière pénale est ouvert contre les décisions rendues en matière pénale. Cette notion comprend toutes les décisions qui se fondent sur le droit pénal matériel ou le droit de procédure pénale. Elle s'étend donc à un prononcé relatif à un mandat d'arrêt ou d'amener. En tant que mesure de contrainte susceptible de porter atteinte à la liberté de la personne concernée, un tel mandat est est susceptible de causer un préjudice irréparable au sens de l' art. 93 al. 1 LTF . Pour le surplus, le recours est formé en temps utile ( art. 100 al. 1 LTF ) contre une décision rendue en dernière instance cantonale ( art. 80 LTF ) et les conclusions présentées (y compris en réforme) sont recevables au regard de l' art. 107 al. 2 LTF .</w:t>
      </w:r>
    </w:p>
    <w:p>
      <w:r>
        <w:rPr>
          <w:b/>
        </w:rPr>
        <w:t>E. 2</w:t>
      </w:r>
    </w:p>
    <w:p>
      <w:r>
        <w:t>Le recourant se plaint d'établissement inexact et incomplet des faits. Il reproche à la cour cantonale d'avoir statué directement à réception de l'arrêt du Tribunal fédéral, sans lui donner l'occasion de s'exprimer et sans prendre en compte les faits intervenus depuis sa première décision du 4 août 2017, alors qu'elle dispose d'un plein pouvoir d'examen.</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Quant aux faits évoqués pour la première fois devant le Tribunal fédéral - en particulier les faits postérieurs à la décision attaquée -, ils sont irrecevables en vertu de l' art. 99 LTF .</w:t>
      </w:r>
    </w:p>
    <w:p>
      <w:r>
        <w:rPr>
          <w:b/>
        </w:rPr>
        <w:t>E. 2.2</w:t>
      </w:r>
    </w:p>
    <w:p>
      <w:r>
        <w:t>Selon le recourant, la cour cantonale se serait à nouveau trompée sur l'objet du litige en considérant qu'il s'agissait d'un mandat d'amener au lieu d'un refus de lever le mandat d'arrêt du 21 décembre 2016. La cour de céans a déjà relevé cette confusion dans son arrêt précédent, ajoutant toutefois qu'elle était sans conséquence puisque les considérations relatives au mandat d'amener devaient s'appliquer a fortiori à un mandat d'arrêt.</w:t>
      </w:r>
    </w:p>
    <w:p>
      <w:r>
        <w:t>Le recourant conteste ensuite avoir refusé de se déplacer à Genève pour être entendu. Il affirme avoir expliqué au Ministère public les raisons légitimes qui l'empêchaient de quitter le territoire du Royaume-Uni, soit le risque que sa demande d'asile déposée dans cet Etat soit considérée comme définitivement retirée. Comme on le verra ci-dessous (consid. 3.1), les conséquences de l'exécution du mandat d'arrêt sur la situation juridique du prévenu à l'étranger n'avaient pas à être examinées lors de la délivrance, respectivement le refus de révoquer le mandat. Les faits allégués dans ce cadre sont donc sans pertinence. Pour le surplus, le recourant ne conteste pas qu'il n'a pas donné suite à l'offre du Ministère public de comparaître sous sauf-conduit et qu'il n'a pas satisfait aux conditions posées pour la révocation du mandat. Il n'y a donc pas arbitraire sur ce point également.</w:t>
      </w:r>
    </w:p>
    <w:p>
      <w:r>
        <w:t>L'arrêt attaqué passerait également sous silence, selon le recourant, les démarches entreprises par celui-ci afin d'être entendu auprès de l'Ambassade Suisse et afin de pouvoir se rendre en Suisse; il ne s'interrogerait pas non plus sur la nécessité d'entendre le recourant et sur le fait que les autres prévenus n'ont pas fait l'objet de mandat d'arrêt alors même qu'ils ont été entendus dans l'intervalle par commission rogatoire et mis en prévention. L'arrêt attaqué rappelle que le recourant a pu être entendu une première fois par commission rogatoire - ce qui suppose qu'il avait consenti et effectué les démarches nécessaires à cette audition - et qu'il avait invoqué des "raisons légitimes" l'empêchant de se rendre en Suisse. Même si ces raisons ne sont pas explicitées, la cour cantonale rappelle - à juste titre comme on le verra - que celles-ci ne tiennent pas au mandat d'arrêt proprement dit. Quant au refus de tenir compte d'une différence de traitement avec d'autres prévenus à l'étranger, de même que l'impossibilité de déposer une demande d'asile en Suisse, il ne s'agit pas d'une question de fait mais de droit.</w:t>
      </w:r>
    </w:p>
    <w:p>
      <w:r>
        <w:rPr>
          <w:b/>
        </w:rPr>
        <w:t>E. 2.3</w:t>
      </w:r>
    </w:p>
    <w:p>
      <w:r>
        <w:t>Dans un second grief, d'ordre formel, le recourant invoque les art. 29 Cst. , 6 CEDH et 6 CPP et reproche à la cour cantonale de ne pas avoir exercé son plein pouvoir d'examen en statuant sans échange d'écritures ni débats après réception de l'arrêt du Tribunal fédéral du 7 décembre 2017. Les faits de l'arrêt attaqué seraient repris quasiment tels quels du premier arrêt et aucune pesée d'intérêts n'aurait été effectuée; la cour cantonale n'aurait pas non plus statué sur le grief relatif à l'égalité de traitement.</w:t>
      </w:r>
    </w:p>
    <w:p>
      <w:r>
        <w:t>L'arrêt du Tribunal fédéral du 7 décembre 2017 considère que le recours est ouvert contre un mandat d'arrêt, respectivement le refus de le révoquer et renvoie la cause à la cour cantonale pour nouvelle décision sur le fond. Dans sa nouvelle décision, la cour cantonale a retenu que l'existence de charges suffisantes n'était pas contestable, que l'empêchement invoqué par le recourant n'était pas inhérent au mandat lui-même et que les besoins de l'instruction justifiaient une comparution à Genève. La mesure de contrainte était justifiée par la gravité des faits. Ces considérations satisfont à l'obligation formelle de motiver telle qu'elle découle du droit d'être entendu. Appelée à rendre une nouvelle décision sur le fond, la cour cantonale devait le faire dans le respect du principe de célérité, un mandat d'amener ou d'arrêt étant par nature destiné à une exécution aussi rapide que possible. Le recourant avait déjà largement pu s'exprimer durant la première procédure de recours sur les motifs qui pouvaient faire obstacle à sa venue en Suisse. Le 22 décembre 2017, il s'est d'ailleurs spontanément adressé à la Chambre pénale de recours afin de demander une décision rapide; il n'a pas tenté, à cette occasion, de faire valoir des faits selon lui pertinents qui seraient intervenus depuis le premier prononcé cantonal. Dans ces conditions, la cour cantonale n'avait pas à rechercher d'office si de nouveaux éléments pouvaient faire obstacle à la mesure de contrainte. Elle a au demeurant tenu compte du temps écoulé en considérant qu'il n'en résultait pas une violation du principe de la proportionnalité.</w:t>
      </w:r>
    </w:p>
    <w:p>
      <w:r>
        <w:t>Les griefs relatifs à l'établissement des faits et les arguments d'ordre formel doivent ainsi être écartés.</w:t>
      </w:r>
    </w:p>
    <w:p>
      <w:r>
        <w:rPr>
          <w:b/>
        </w:rPr>
        <w:t>E. 3</w:t>
      </w:r>
    </w:p>
    <w:p>
      <w:r>
        <w:t>Sur le fond, le recourant estime que la cour cantonale ne se serait pas livrée à la pesée d'intérêts commandée par les art. 36 Cst. et 197 CPP. Elle aurait ainsi méconnu que le recourant n'est pas en possession d'un passeport, celui-ci ayant été remis aux autorités anglaises à l'appui de sa demande d'asile; l'existence de cette même procédure (antérieure aux convocations de la justice suisse) l'empêcherait de se rendre en Suisse - même sous sauf-conduit -, car sa demande d'asile serait alors considérée comme retirée et le dépôt d'une nouvelle demande en Suisse serait problématique au vu de l' art. 31a LAsi . La nécessité d'une confrontation ne serait pas démontrée et celle-ci pourrait avoir lieu par d'autres moyens (audition à l'Ambassade, vidéoconférence), ou après décision sur sa demande d'asile.</w:t>
      </w:r>
    </w:p>
    <w:p>
      <w:r>
        <w:rPr>
          <w:b/>
        </w:rPr>
        <w:t>E. 3.1</w:t>
      </w:r>
    </w:p>
    <w:p>
      <w:r>
        <w:t>L'autorité qui ordonne une mesure de contrainte telle qu'un mandat d'arrêt ou d'amener doit s'assurer que celle-ci est prévue par la loi, que les soupçons sont suffisants, que les buts poursuivis ne peuvent pas être atteints par des mesures moins sévères et qu'elle apparaît justifiée au regard de la gravité de l'infraction ( art. 197 al. 1 CPP ). Elle n'a pas en revanche à s'interroger sur l'ensemble des conséquences qu'une telle mesure peut revêtir pour la personne concernée dès lors qu'au moment de rendre sa décision, elle ne dispose en principe pas des renseignements sur la situation personnelle de l'intéressé.</w:t>
      </w:r>
    </w:p>
    <w:p>
      <w:r>
        <w:rPr>
          <w:b/>
        </w:rPr>
        <w:t>E. 3.2</w:t>
      </w:r>
    </w:p>
    <w:p>
      <w:r>
        <w:t>Le recourant ne conteste pas en l'occurrence que les soupçons à son égard sont suffisants et qu'au vu de la gravité et de la complexité des faits, il est nécessaire d'obtenir sa présence en vue d'une confrontation directe avec les autres prévenus. Les conditions pour la délivrance d'un mandat d'amener, respectivement pour un mandat d'arrêt sont dès lors réunies. L'écoulement du temps vient encore renforcer cette nécessité puisque selon le Ministère public, la fin de l'instruction et le renvoi en jugement approchent. Dans cette perspective, la présence du recourant aux débats serait obligatoire au sens de l' art. 336 CPP . Il ne serait manifestement pas conforme au principe de célérité de surseoir à une comparution personnelle en attendant l'issue de la demande d'asile du recourant en Angleterre.</w:t>
      </w:r>
    </w:p>
    <w:p>
      <w:r>
        <w:t>L'essentiel de l'objection du recourant se rapporte à la procédure d'asile. Toutefois, dès lors que les autorités britanniques sont saisies simultanément d'une demande d'asile et d'une demande d'extradition, c'est à elles - et non au Ministère public, auteur d'un simple mandat - qu'il appartiendra de coordonner les deux procédures et de déterminer si l'exécution de la demande d'extradition est susceptible de compromettre le sort de la demande d'asile. C'est dès lors à juste titre que la cour cantonale n'a pas tenu compte de cet élément dans sa pesée des intérêts.</w:t>
      </w:r>
    </w:p>
    <w:p>
      <w:r>
        <w:rPr>
          <w:b/>
        </w:rPr>
        <w:t>E. 3.3</w:t>
      </w:r>
    </w:p>
    <w:p>
      <w:r>
        <w:t>L'argument tiré de l'égalité de traitement n'est pas mieux fondé. Le recourant se contente d'évoquer le cas de deux autres prévenus qui ont été entendus en Ukraine et pour lesquels aucun mandat d'arrêt n'a été prononcé. Le recourant ne tente toutefois pas de démontrer que la situation de ces deux prévenus serait en tous points comparable à la sienne au regard notamment des faits qui leur sont concrètement reprochés. S'agissant d'un grief de nature constitutionnelle, il apparaît insuffisamment motivé ( art. 106 al. 2 LTF ).</w:t>
      </w:r>
    </w:p>
    <w:p>
      <w:r>
        <w:rPr>
          <w:b/>
        </w:rPr>
        <w:t>E. 4</w:t>
      </w:r>
    </w:p>
    <w:p>
      <w:r>
        <w:t>Sur le vu de ce qui précède, le recours est rejeté dans la mesure où il est 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