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1B_727/2012 vom 19. Dezember 2012</w:t>
      </w:r>
    </w:p>
    <w:p>
      <w:r>
        <w:t>Bundesgericht, 2012-12-19, FR</w:t>
      </w:r>
    </w:p>
    <w:p>
      <w:r>
        <w:rPr>
          <w:b/>
        </w:rPr>
        <w:t xml:space="preserve">Quelle: </w:t>
      </w:r>
      <w:r>
        <w:t>https://mcp.opencaselaw.ch/entscheid/bger_1B_727_2012</w:t>
      </w:r>
    </w:p>
    <w:p>
      <w:r>
        <w:t>FR: TF 1B_727/2012 du 19 décembre 2012</w:t>
      </w:r>
    </w:p>
    <w:p>
      <w:r>
        <w:t>IT: TF 1B_727/2012 del 19 dicembre 2012</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Le recourant soutient que les conditions de la détention pour des motifs de sûreté ne sont pas réalisées, en particulier l'existence du risque de fuite ( art. 221 CPP ). Cas échéant, un éventuel risque de fuite pourrait être écarté par le versement par ses parents d'une caution de 10'000 fr.</w:t>
      </w:r>
    </w:p>
    <w:p>
      <w:r>
        <w:rPr>
          <w:b/>
        </w:rPr>
        <w:t>E. 2.1</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Il est sans importance que l'extradition du prévenu puisse être obtenue ( ATF 123 I 31 consid. 3d p. 36 s.).</w:t>
      </w:r>
    </w:p>
    <w:p>
      <w:r>
        <w:rPr>
          <w:b/>
        </w:rPr>
        <w:t>E. 2.2</w:t>
      </w:r>
    </w:p>
    <w:p>
      <w:r>
        <w:t>La Cour d'appel pénale a retenu l'existence d'un risque de fuite. Elle a relevé que le recourant avait la nationalité turque, que nonobstant le fait qu'il soit en Suisse depuis de nombreuses années, il n'avait jamais occupé d'emploi stable, qu'il contestait la peine prononcée à son encontre et minimisait la gravité des faits qui lui étaient reprochés. Forte de ces constatations et compte tenu de l'ampleur de la peine prononcée en première instance, l'instance précédente a estimé que l'intéressé pourrait être tenté de retourner en Turquie ou de disparaître dans la clandestinité pour se soustraire à la sanction prise à son encontre; aucune mesure de substitution n'était susceptible de palier le risque de fuite.</w:t>
      </w:r>
    </w:p>
    <w:p>
      <w:r>
        <w:t>Le recourant conteste l'appréciation de la Cour d'appel pénale. Il relève qu'il a également la nationalité helvétique et qu'il vit en Suisse depuis plus de 20 ans. Il affirme que toute sa famille se trouverait en Suisse (père, mère et frère cadet). De plus, comme il l'avait déclaré lors des débats publics, il exercerait une activité de manager et d'organisateur d'événementiels et assisterait en parallèle ses parents dans l'exploitation d'un établissement public pour une rémunération mensuelle d'environ 3'000 à 4'000 fr.</w:t>
      </w:r>
    </w:p>
    <w:p>
      <w:r>
        <w:rPr>
          <w:b/>
        </w:rPr>
        <w:t>E. 2.3</w:t>
      </w:r>
    </w:p>
    <w:p>
      <w:r>
        <w:t>Il est vrai que l'importance de la peine privative de liberté ferme prononcée en première instance (3 ans et demi) - prolongée d'une durée de 9 mois à la suite de la révocation du sursis accordé le 3 mai 2006 - justifie une certaine prudence dans l'appréciation du risque de fuite. Selon la jurisprudence, cet élément ne peut cependant pas à lui seul justifier le maintien en détention, de sorte qu'il convient d'examiner s'il existe d'autres indices d'un éventuel risque de fuite. La nationalité turque du recourant, le fait qu'il n'a jamais occupé d'emploi stable et qu'il conteste sa peine ne constituent pas à eux seuls de tels indices dès lors que l'intéressé vit depuis l'âge de 8 ans en Suisse (dont il a acquis la nationalité) où il a manifestement des attaches importantes. Hormis les quelques éléments précités, la décision cantonale ne dit rien sur la situation personnelle de l'intéressé en Suisse. On ignore en outre si le recourant a de la famille ou des relations en Turquie et s'il a conservé des liens avec ce pays qui feraient redouter un risque de fuite. Or, il n'appartient pas au Tribunal fédéral de rechercher dans le dossier les renseignements qui permettraient de justifier la mesure litigieuse.</w:t>
      </w:r>
    </w:p>
    <w:p>
      <w:r>
        <w:t>En définitive, les éléments indispensables pour apprécier le risque de fuite font défaut, de sorte que le Tribunal fédéral n'est pas en mesure de statuer. Il y a dès lors lieu de constater que la décision attaquée ne contient pas "les motifs déterminants de fait et de droit" requis par l' art. 112 al. 1 let. b LTF , si bien que la cause doit être renvoyée à l'autorité cantonale en application de l' art. 112 al. 3 LTF . Conformément au principe de la proportionnalité (cf. art. 237 al. 1 CPP ), l'instance précédente, procédant à une nouvelle appréciation des motifs de la détention, devra également examiner, le cas échéant, si des mesures de substitution à la détention pourraient entrer en considération, comme par exemple celle proposée par le recourant.</w:t>
      </w:r>
    </w:p>
    <w:p>
      <w:r>
        <w:t>Par ailleurs, eu égard aux antécédents du recourant, il n'est pas exclu que la détention puisse se justifier également en raison d'un risque de réitération. En particulier, les condamnations des 3 mai 2006 et 19 octobre 2010 paraissent également se fonder sur des actes de violence et de menace à l'encontre de tiers, tout comme la présente affaire.</w:t>
      </w:r>
    </w:p>
    <w:p>
      <w:r>
        <w:rPr>
          <w:b/>
        </w:rPr>
        <w:t>E. 2.4</w:t>
      </w:r>
    </w:p>
    <w:p>
      <w:r>
        <w:t>L'annulation de l'ordonnance attaquée pour les motifs précités ne conduit pas à la libération immédiate du recourant, dès lors qu'il n'est pas d'emblée exclu qu'il existe des motifs fondés d'ordonner la détention pour des motifs de sûretés (cf. arrêt 1B_564/2011 du 27 octobre 2011 consid. 3.5). La conclusion du recours tendant à la libération immédiate de l'intéressé doit donc être rejetée.</w:t>
      </w:r>
    </w:p>
    <w:p>
      <w:r>
        <w:rPr>
          <w:b/>
        </w:rPr>
        <w:t>E. 3</w:t>
      </w:r>
    </w:p>
    <w:p>
      <w:r>
        <w:t>Il s'ensuit que le recours doit être partiellement admis. La décision attaquée est annulée et la cause est renvoyée à l'instance précédente pour qu'elle rende, à brève échéance, une décision qui réponde aux réquisits de l' art. 112 al. 1 LTF . Il n'y a pas lieu de percevoir des frais judiciaires ( art. 66 al. 4 LTF ). Le recourant, assisté d'un avocat, a droit à des dépens, à la charge de l'Etat de Vaud ( art. 68 al. 1 LTF ). Dans ces conditions,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