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1B_720/2011 vom 18. Januar 2012</w:t>
      </w:r>
    </w:p>
    <w:p>
      <w:r>
        <w:t>Bundesgericht, 2012-01-18, FR</w:t>
      </w:r>
    </w:p>
    <w:p>
      <w:r>
        <w:rPr>
          <w:b/>
        </w:rPr>
        <w:t xml:space="preserve">Quelle: </w:t>
      </w:r>
      <w:r>
        <w:t>https://mcp.opencaselaw.ch/entscheid/bger_1B_720_2011</w:t>
      </w:r>
    </w:p>
    <w:p>
      <w:r>
        <w:t>FR: TF 1B_720/2011 du 18 janvier 2012</w:t>
      </w:r>
    </w:p>
    <w:p>
      <w:r>
        <w:t>IT: TF 1B_720/2011 del 18 gennaio 2012</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l'accusé a qualité pour agir. Le recourant a déjà contesté l'arrêt attaqué devant la Cour de céans, par un premier recours qui a été partiellement admis le 21 décembre 2011 (arrêt 1B_684 et 686/2011). Dans la mesure où cet arrêt constate une violation du principe de célérité, la conclusion prise en ce sens dans le nouveau recours et les griefs formulés à cet égard sont dépourvus d'objet. En revanche, le recourant conserve un intérêt au traitement des conclusions tendant à sa mise en liberté et des griefs contestant le bien-fondé de la détention. Le recours est donc recevable de ce point de vue, dès lors qu'il a été formé dans le délai de trente jours prévu par l' art. 100 al. 1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remet pas en cause le caractère suffisant des charges qui pèsent sur lui, mais il conteste notamment l'existence du risque de fuite retenu par l'autorité précédente.</w:t>
      </w:r>
    </w:p>
    <w:p>
      <w:r>
        <w:rPr>
          <w:b/>
        </w:rPr>
        <w:t>E. 3.1</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rPr>
          <w:b/>
        </w:rPr>
        <w:t>E. 3.2</w:t>
      </w:r>
    </w:p>
    <w:p>
      <w:r>
        <w:t>Selon le Tmc, le risque de fuite est patent eu égard à la nationalité lituanienne du recourant - pays où il est censé résider - l'absence d'attaches avec la Suisse et la peine concrètement encourue. Le recourant se borne à alléguer qu'il est "ressortissant européen" et que le risque de fuite n'est "pas suffisamment concret et intense", ce qui ne contredit pas de manière convaincante l'appréciation de l'autorité précitée. Il est au demeurant évident qu'il existe un risque important de voir le recourant prendre la fuite, la nationalité de l'intéressé, l'absence totale d'attaches avec la Suisse et l'importance de la peine encourue concrètement en cas de condamnation étant suffisantes pour démontrer ce risque. Dans ces conditions, il n'y a pas lieu de rechercher si le maintien en détention peut également être motivé par un risque de récidive voire un risque de collusion, comme le mentionne l'arrêt attaqué.</w:t>
      </w:r>
    </w:p>
    <w:p>
      <w:r>
        <w:rPr>
          <w:b/>
        </w:rPr>
        <w:t>E. 3.3</w:t>
      </w:r>
    </w:p>
    <w:p>
      <w:r>
        <w:t>Le recourant propose encore diverses mesures de substitution prévues par l' art. 237 CPP , à savoir le dépôt de son passeport, l'interdiction de quitter le territoire suisse et l'obligation de se présenter périodiquement aux autorités suisses. Ces mesures sont cependant clairement insuffisantes pour pallier l'important risque de fuite et on ne voit pas quelle autre mesure pourrait atteindre le même but que la détention.</w:t>
      </w:r>
    </w:p>
    <w:p>
      <w:r>
        <w:rPr>
          <w:b/>
        </w:rPr>
        <w:t>E. 4</w:t>
      </w:r>
    </w:p>
    <w:p>
      <w:r>
        <w:t>Il s'ensuit que le recours doit être rejeté, dans la mesure de sa recevabilité. Dès lors que le recourant est dans le besoin et que ses conclusions n'étaient pas d'emblée vouées à l'échec, l'assistance judiciaire doit lui être accordée ( art. 64 al. 1 LTF ). Il y a lieu de désigner Me Yann Arnold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