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1B_71/2020 vom 13. Februar 2020</w:t>
      </w:r>
    </w:p>
    <w:p>
      <w:r>
        <w:t>Bundesgericht, 2020-02-13, DE</w:t>
      </w:r>
    </w:p>
    <w:p>
      <w:r>
        <w:rPr>
          <w:b/>
        </w:rPr>
        <w:t xml:space="preserve">Quelle: </w:t>
      </w:r>
      <w:r>
        <w:t>https://mcp.opencaselaw.ch/entscheid/bger_1B_71_2020</w:t>
      </w:r>
    </w:p>
    <w:p>
      <w:r>
        <w:t>FR: TF 1B_71/2020 du 13 février 2020</w:t>
      </w:r>
    </w:p>
    <w:p>
      <w:r>
        <w:t>IT: TF 1B_71/2020 del 13 febbraio 2020</w:t>
      </w:r>
    </w:p>
    <w:p>
      <w:pPr>
        <w:pStyle w:val="Heading2"/>
      </w:pPr>
      <w:r>
        <w:t>Erwägungen</w:t>
      </w:r>
    </w:p>
    <w:p>
      <w:r>
        <w:rPr>
          <w:b/>
        </w:rPr>
        <w:t>E. 1</w:t>
      </w:r>
    </w:p>
    <w:p>
      <w:r>
        <w:t>A.________ erhob gegen den Strafbefehl der Staatsanwaltschaft See/Oberland vom 17. Januar 2020 Einsprache. Die Staatsanwaltschaft See/Oberland lud sie mit Verfügung vom 24. Januar 2020 zur Einvernahme als beschuldigte Person auf den 11. Februar 2020 vor. Dagegen erhob A.________ mit Eingabe vom 5. Februar 2020 Beschwerde. Die III. Strafkammer des Obergerichts des Kantons Zürich wies die Beschwerde mit Beschluss vom 7. Februar 2020 ab, soweit sie darauf eintrat.</w:t>
      </w:r>
    </w:p>
    <w:p>
      <w:r>
        <w:rPr>
          <w:b/>
        </w:rPr>
        <w:t>E. 2</w:t>
      </w:r>
    </w:p>
    <w:p>
      <w:r>
        <w:t>A.________ führt mit Eingabe vom 12. Februar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Die Beschwerdeführerin setzt sich nicht mit der Begründung der III. Strafkammer auseinander. Sie vermag mit ihren nicht sachbezogenen Ausführungen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