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1B_71/2013 vom 13. März 2013</w:t>
      </w:r>
    </w:p>
    <w:p>
      <w:r>
        <w:t>Bundesgericht, 2013-03-13, DE</w:t>
      </w:r>
    </w:p>
    <w:p>
      <w:r>
        <w:rPr>
          <w:b/>
        </w:rPr>
        <w:t xml:space="preserve">Quelle: </w:t>
      </w:r>
      <w:r>
        <w:t>https://mcp.opencaselaw.ch/entscheid/bger_1B_71_2013</w:t>
      </w:r>
    </w:p>
    <w:p>
      <w:r>
        <w:t>FR: TF 1B_71/2013 du 13 mars 2013</w:t>
      </w:r>
    </w:p>
    <w:p>
      <w:r>
        <w:t>IT: TF 1B_71/2013 del 13 marzo 2013</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befugt. Die weiteren Sachurteilsvoraussetzungen geben zu keinen Bemerkungen Anlass. Auf die Beschwerde ist einzutreten.</w:t>
      </w:r>
    </w:p>
    <w:p>
      <w:r>
        <w:rPr>
          <w:b/>
        </w:rPr>
        <w:t>E. 2.1</w:t>
      </w:r>
    </w:p>
    <w:p>
      <w:r>
        <w:t>Gemäss Art. 221 Abs. 1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(lit. c).</w:t>
      </w:r>
    </w:p>
    <w:p>
      <w:r>
        <w:t>Der Beschwerdeführer bestreitet den dringenden Tatverdacht ausdrücklich nicht. Er macht einzig geltend, es fehle an der Wiederholungsgefahr.</w:t>
      </w:r>
    </w:p>
    <w:p>
      <w:r>
        <w:rPr>
          <w:b/>
        </w:rPr>
        <w:t>E. 2.2</w:t>
      </w:r>
    </w:p>
    <w:p>
      <w:r>
        <w:t>Sinn und Zweck der Anordnung von Haft wegen Wiederholungsgefahr ist die Verhütung von Delikten. Die Haft ist somit überwiegend Präventivhaft. Nach der Rechtsprechung ist Art. 221 Abs. 1 lit. c StPO dahin auszulegen, dass "Verbrechen oder schwere Vergehen" drohen müssen. Diese Bestimmung verlangt,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137 IV 84 E. 3.2 S. 85 f. mit Hinweisen).</w:t>
      </w:r>
    </w:p>
    <w:p>
      <w:r>
        <w:t>Als Verbrechen oder schwere Vergehen, welche die Sicherheit anderer nach Art. 221 Abs. 1 lit. c StPO erheblich gefährden können, kommen auch qualifizierte Widerhandlungen gegen das Betäubungsmittelgesetz in Betracht (Urteil 1B_126/2011 vom 6. April 2011 E. 3.7, nicht publ. in BGE 137 IV 84 ).</w:t>
      </w:r>
    </w:p>
    <w:p>
      <w:r>
        <w:rPr>
          <w:b/>
        </w:rPr>
        <w:t>E. 2.3</w:t>
      </w:r>
    </w:p>
    <w:p>
      <w:r>
        <w:t>Der Beschwerdeführer ist einschlägig vorbestraft. Am 3. Mai 2012 verurteilte ihn das Strafgericht Basel-Landschaft wegen qualifizierter Widerhandlung gegen das Betäubungsmittelgesetz und weiterer Delikte zu einer Freiheitsstrafe von 24 Monaten, bedingt bei einer Probezeit von 3 Jahren. Diesem Schuldspruch liegt folgender Sachverhalt zugrunde: Der Beschwerdeführer verkaufte ab Mitte 2006 während ungefähr eines halben Jahres ca. 500 Gramm Marihuana; von Anfang 2007 bis April 2009 ca. 2,2 kg Haschisch und rund 1,1 kg "Speed" (Amphetamin); ab Mitte 2007 bis April 2009 überdies ca. 220 Gramm Kokain. In neuen Verfahren bezichtigen vier Personen unabhängig voneinander den Beschwerdeführer des Drogenhandels. In den Konfrontationseinvernahmen haben sie daran festgehalten. Es ist nicht ersichtlich, weshalb diese Personen den Beschwerdeführer zu Unrecht anschuldigen sollten, zumal zwischen ihnen und dem Beschwerdeführer offenbar teilweise freundschaftliche Beziehungen bestanden und sie sich mit ihren Aussagen selber belasten. Die neuen Anschuldigungen werden gestützt durch das Ergebnis der beim Beschwerdeführer durchgeführten Hausdurchsuchung, bei welcher Ecstasy-Tabletten sichergestellt werden konnten. Überdies ergeben sich aus den Protokollen der Telefonüberwachung Hinweise auf Drogenhandel.</w:t>
      </w:r>
    </w:p>
    <w:p>
      <w:r>
        <w:t>Die Vorinstanz nimmt an, bereits aus dem rechtskräftigen Strafurteil vom 3. Mai 2012 ergebe sich, dass der Beschwerdeführer mehrere gleichartige Straftaten verübt habe. Bei der Wiederholungsgefahr nach Art. 221 Abs. 1 lit. c StPO komme es nicht auf die Anzahl der Strafurteile an, sondern darauf, wie viele Straftaten nachgewiesen seien. Selbst wenn die einschlägige Vorstrafe lediglich als einzige Vortat gewertet würde, liege eine sehr ungünstige Rückfallprognose aufgrund der erdrückenden Beweislage in Bezug auf die dem Beschwerdeführer neu vorgeworfenen Delikte vor.</w:t>
      </w:r>
    </w:p>
    <w:p>
      <w:r>
        <w:t>Dem ist vollumfänglich zuzustimmen. Art. 221 Abs. 1 lit. c StPO spricht von früher verübten gleichartigen Straftaten. Es kommt somit auf die Zahl der Straftaten an, nicht der Strafurteile. Die gegenteilige, vom Zwangsmassnahmengericht vertretene Auffassung wäre sachwidrig, da einem einzigen Strafurteil gegebenenfalls viele Straftaten zugrunde liegen können. Für die Beurteilung der Gefährlichkeit des Beschuldigten massgeblich ist aber die Zahl der bereits verübten Straftaten, nicht der Strafurteile. Die Auffassung des Zwangsmassnahmengerichts führte zu einer grundlosen Privilegierung des Wiederholungstäters, dessen Straftaten lange nicht entdeckt und deshalb in einem einzigen Urteil geahndet wurden.</w:t>
      </w:r>
    </w:p>
    <w:p>
      <w:r>
        <w:t>Der Beschwerdeführer hat mehrere Widerhandlungen gegen das Betäubungsmittelgesetz begangen, die zum Urteil vom 3. Mai 2012 geführt haben. Er steht unter dem dringenden Verdacht, vor und nach diesem Urteil erneut gleichartige Widerhandlungen begangen zu haben; dies ungeachtet des laufenden Strafverfahrens bzw. der Probezeit. Insoweit bestehen schwerwiegende belastende Gesichtspunkte. Wenn die Vorinstanz unter diesen Umständen Wiederholungsgefahr bejaht hat, verletzt das kein Bundesrecht.</w:t>
      </w:r>
    </w:p>
    <w:p>
      <w:r>
        <w:rPr>
          <w:b/>
        </w:rPr>
        <w:t>E. 3</w:t>
      </w:r>
    </w:p>
    <w:p>
      <w:r>
        <w:t>Die Beschwerde ist abzuweisen.</w:t>
      </w:r>
    </w:p>
    <w:p>
      <w:r>
        <w:t>Die Untersuchungshaft stellt einen schweren Eingriff in die persönliche Freiheit dar. Da das Zwangsmassnahmengericht Wiederholungsgefahr verneint hatte, konnte sich der Beschwerdeführer zur Beschwerde veranlasst sehen. Die unentgeltliche Rechtspflege und Verbeiständung nach Art. 64 BGG wird daher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