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71/2012 vom 15. August 2012</w:t>
      </w:r>
    </w:p>
    <w:p>
      <w:r>
        <w:t>Bundesgericht, 2012-08-15, FR</w:t>
      </w:r>
    </w:p>
    <w:p>
      <w:r>
        <w:rPr>
          <w:b/>
        </w:rPr>
        <w:t xml:space="preserve">Quelle: </w:t>
      </w:r>
      <w:r>
        <w:t>https://mcp.opencaselaw.ch/entscheid/bger_1B_71_2012</w:t>
      </w:r>
    </w:p>
    <w:p>
      <w:r>
        <w:t>FR: TF 1B 71/2012 du 15 août 2012</w:t>
      </w:r>
    </w:p>
    <w:p>
      <w:r>
        <w:t>IT: TF 1B 71/2012 del 15 agosto 2012</w:t>
      </w:r>
    </w:p>
    <w:p>
      <w:pPr>
        <w:pStyle w:val="Heading2"/>
      </w:pPr>
      <w:r>
        <w:t>Regeste</w:t>
      </w:r>
    </w:p>
    <w:p>
      <w:r>
        <w:t>procédure pénale, non-entrée en matière | Procédure pénale</w:t>
      </w:r>
    </w:p>
    <w:p>
      <w:pPr>
        <w:pStyle w:val="Heading2"/>
      </w:pPr>
      <w:r>
        <w:t>Erwägungen</w:t>
      </w:r>
    </w:p>
    <w:p>
      <w:r>
        <w:rPr>
          <w:b/>
        </w:rPr>
        <w:t>E. 1</w:t>
      </w:r>
    </w:p>
    <w:p>
      <w:r>
        <w:t>La décision attaquée a été rendue en matière pénale au sens de l' art. 78 LTF . Selon l'art. 81 al. 1 let. a et b ch. 5 LTF, la partie plaignante qui a participé à la procédure de dernière instance cantonale est habilitée à recourir au Tribunal fédéral si la décision attaquée peut avoir des effets sur le jugement de ses prétentions civiles. Dès lors que la plainte litigieuse avait pour objet de prétendues infractions contre le patrimoine, on peut admettre que cette condition est réalisée, la recourante invoquant en outre la violation de droits qui lui sont reconnus en qualité de partie à la procédure. Elle a donc la qualité pour recourir. Pour le surplus, le recours étant formé en temps utile ( art. 100 al. 1 LTF ) contre une décision finale ( art. 90 LTF ) rendue en dernière instance cantonale ( art. 80 LTF ), il y a lieu d'entrer en matière.</w:t>
      </w:r>
    </w:p>
    <w:p>
      <w:r>
        <w:rPr>
          <w:b/>
        </w:rPr>
        <w:t>E. 2</w:t>
      </w:r>
    </w:p>
    <w:p>
      <w:r>
        <w:t>La recourante soutient en substance que la Cour de justice a fait preuve de formalisme excessif en déclarant son recours irrecevable au motif que son avocate n'avait pas formé de recours ni indiqué donner son accord au recours déposé par son précédent mandataire. Elle se plaint dans ce cadre d'arbitraire, d'une constatation manifestement inexacte des faits et d'une violation de son droit d'être entendue.</w:t>
      </w:r>
    </w:p>
    <w:p>
      <w:r>
        <w:rPr>
          <w:b/>
        </w:rPr>
        <w:t>E. 2.1</w:t>
      </w:r>
    </w:p>
    <w:p>
      <w:r>
        <w:t>Le formalisme excessif est un aspect particulier du déni de justice prohibé par l' art. 29 al. 2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130 V 177 consid. 5.4.1 p. 183; 128 II 139 consid. 2a p. 142; 127 I 31 consid. 2a/bb p. 34 et les arrêts cités). En tant qu'elle sanctionne un comportement répréhensible de l'autorité dans ses relations avec le justiciable, l'interdiction du formalisme excessif poursuit le même but que le principe de la bonne foi ( art. 9 Cst. ). A cet égard, elle commande à l'autorité d'éviter de sanctionner par l'irrecevabilité les vices de procédure aisément reconnaissables qui auraient pu être redressés à temps, lorsque celle-ci pouvait s'en rendre compte assez tôt et les signaler utilement au plaideur ( ATF 125 I 166 consid. 3a p. 170; 124 II 265 consid. 4a p. 270 et les références).</w:t>
      </w:r>
    </w:p>
    <w:p>
      <w:r>
        <w:rPr>
          <w:b/>
        </w:rPr>
        <w:t>E. 2.2</w:t>
      </w:r>
    </w:p>
    <w:p>
      <w:r>
        <w:t>En l'espèce, la direction de la procédure de la Cour de justice a écrit le 29 novembre 2011 aux deux avocats agissant pour la recourante, Me X.________ et Me Y.________, pour leur demander s'ils entendaient assurer une défense conjointe ou si un seul d'entre eux était désormais constitué. Elle les rendait attentifs au fait que le recours pourrait être déclaré irrecevable s'il s'avérait qu'il était déposé par un conseil ne bénéficiant pas d'une procuration. Me X.________ a répondu par courrier du 7 décembre 2011, en déclarant qu'elle se chargeait "dès à présent" de la défense des intérêts de la recourante, produisant une procuration attestant de ses pouvoirs. La Cour de justice en a déduit que le recours déposé par Me Y.________ était irrecevable, Me X.________ n'ayant pas ratifié ledit recours. Quels que soient les reproches que l'on puisse faire aux avocats de la recourante, la solution retenue par la Cour de justice apparaît excessivement rigoureuse. Il est vrai que l'attitude des mandataires en question n'était pas dénuée d'équivoque et le courrier de Me X.________ du 7 décembre 2011 ne contribuait pas à clarifier la situation, cette avocate ne s'étant pas prononcée sur le sort du recours déposé par son confrère. Elle aurait pourtant été bien inspirée de le faire, le recours en question ayant été déposé par un avocat agissant apparemment sans procuration. Il n'en demeure pas moins que le défaut de ratification dudit recours constituait un vice aisément réparable et qu'aucun intérêt public ne justifiait un refus d'entrer en matière pour ce motif (cf. arrêts 2P.329/2005 du 12 juin 2006 consid. 2.2 publié in RF 2007 p. 305; 4C.236/2003 du 30 janvier 2004 consid. 3.3 et 3.4 relatifs à un défaut de procuration). Avant de déclarer le recours irrecevable, l'autorité devait donc interpeller la recourante sur cette question, qui n'était pas expressément soulevée dans le courrier envoyé le 29 novembre 2011 par la direction de la procédure. En définitive, la Cour de justice a fait preuve de formalisme excessif en déclarant le recours irrecevable au motif que Me X.________ n'avait pas ratifié le recours formé par Me Y.________, sans donner à la recourante la possibilité de réparer ce vice.</w:t>
      </w:r>
    </w:p>
    <w:p>
      <w:r>
        <w:rPr>
          <w:b/>
        </w:rPr>
        <w:t>E. 3</w:t>
      </w:r>
    </w:p>
    <w:p>
      <w:r>
        <w:t>Il s'ensuit que le recours doit être partiellement admis, sans qu'il soit nécessaire d'examiner les autres griefs soulevés par la recourante. L'arrêt attaqué doit être annulé partiellement, en tant qu'il déclare irrecevable le recours de A.________. La cause est renvoyée à la Cour de justice pour qu'elle rende une nouvelle décision après avoir invité la mandataire de la prénommée à se déterminer sur le sort du recours déposé par Me Y.________. Dans la mesure où la recourante obtient partiellement gain de cause pour des motifs d'ordre formel, elle a droit à des dépens réduits, à la charge de l'Etat de Genève ( art. 68 al. 1 et 2 LTF ). Dans ces conditions, sa requête d'assistance judiciaire devient sans objet. Il n'y a pas lieu de mettre des frais judiciaire à la charge de l'Etat de Genève ( art. 66 al. 4 LTF ) ni à celle de l'intimée, qui ne s'est pas déterminée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