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1B_719/2011 vom 20. Januar 2012</w:t>
      </w:r>
    </w:p>
    <w:p>
      <w:r>
        <w:t>Bundesgericht, 2012-01-20, FR</w:t>
      </w:r>
    </w:p>
    <w:p>
      <w:r>
        <w:rPr>
          <w:b/>
        </w:rPr>
        <w:t xml:space="preserve">Quelle: </w:t>
      </w:r>
      <w:r>
        <w:t>https://mcp.opencaselaw.ch/entscheid/bger_1B_719_2011</w:t>
      </w:r>
    </w:p>
    <w:p>
      <w:r>
        <w:t>FR: TF 1B_719/2011 du 20 janvier 2012</w:t>
      </w:r>
    </w:p>
    <w:p>
      <w:r>
        <w:t>IT: TF 1B_719/2011 del 20 gennaio 2012</w:t>
      </w:r>
    </w:p>
    <w:p>
      <w:pPr>
        <w:pStyle w:val="Heading2"/>
      </w:pPr>
      <w:r>
        <w:t>Erwägungen</w:t>
      </w:r>
    </w:p>
    <w:p>
      <w:r>
        <w:rPr>
          <w:b/>
        </w:rPr>
        <w:t>E. 1</w:t>
      </w:r>
    </w:p>
    <w:p>
      <w:r>
        <w:t>Selon l' art. 32 al. 2 LTF , le juge instructeur statue comme juge unique sur la radiation du rôle des procédures devenues sans objet. Tel est le cas en l'occurrence. Après le décès du recourant, le recours, qui portait sur la détention après jugement, a perdu tout objet.</w:t>
      </w:r>
    </w:p>
    <w:p>
      <w:r>
        <w:rPr>
          <w:b/>
        </w:rPr>
        <w:t>E. 1.1</w:t>
      </w:r>
    </w:p>
    <w:p>
      <w:r>
        <w:t>En cas de décès d'une partie, le procès est en général suspendu de plein droit, et est repris lorsque le sort de la succession est connu ( art. 6 PCF , applicable par renvoi de l' art. 71 LTF ). Un tel mode de procéder ne se justifie pas lorsqu'il apparaît d'emblée qu'indépendamment des intentions de la succession, le procès ne pourra pas être poursuivi. Il en va ainsi en l'espèce: le recours porte sur une détention après jugement et tend au renvoi de la cause au Président de la cour cantonale afin que celui-ci statue sur la demande de mise en liberté. On ne voit pas, dès lors, quel intérêt les héritiers du recourant pourraient avoir à ce qu'il soit statué sur cette question.</w:t>
      </w:r>
    </w:p>
    <w:p>
      <w:r>
        <w:rPr>
          <w:b/>
        </w:rPr>
        <w:t>E. 1.2</w:t>
      </w:r>
    </w:p>
    <w:p>
      <w:r>
        <w:t>Dans certains cas, le Tribunal fédéral peut néanmoins entrer en matière malgré l'absence d'intérêt actuel, lorsque la contestation pourrait se reproduire en tout temps dans des circonstances identiques ou analogues sans qu'elle ne puisse être soumise à une autorité judiciaire avant de perdre son actualité ( ATF 136 I 274 consid. 1.3 p. 276). Un examen au fond des griefs soulevés peut aussi avoir lieu en cas de violation manifeste de la CEDH, lorsque la réparation demandée par le recourant peut immédiatement lui être accordée par la constatation de cette violation et une répartition des frais qui lui serait plus favorable ( ATF 136 I 274 consid. 1.3 p. 276).</w:t>
      </w:r>
    </w:p>
    <w:p>
      <w:r>
        <w:rPr>
          <w:b/>
        </w:rPr>
        <w:t>E. 1.2.1</w:t>
      </w:r>
    </w:p>
    <w:p>
      <w:r>
        <w:t>Il est certes possible que la question soulevée par le recours puisse se poser à nouveau, mais les instances de recours pourraient alors en être saisies et statuer en temps utile. La violation manifeste invoquée par le recourant est une question qui n'a pas à être résolue indépendamment de tout intérêt actuel et concret, le Tribunal fédéral n'examinant pas les questions purement théoriques ( ATF 123 II 285 consid. 4 p. 286). L'avocat du recourant prétend aussi agir au nom des héritiers et à la mémoire de son client. Il méconnaît toutefois que son recours au Tribunal fédéral ne tendait pas à une mise en liberté immédiate ou à une constatation de l'illégalité de la détention, mais seulement au renvoi de la cause au Président de la cour cantonale afin que celui-ci statue sur la demande de mise en liberté. Un tel renvoi, sans examen du fond, n'a évidemment plus de sens dans les circonstances actuelles.</w:t>
      </w:r>
    </w:p>
    <w:p>
      <w:r>
        <w:rPr>
          <w:b/>
        </w:rPr>
        <w:t>E. 1.2.2</w:t>
      </w:r>
    </w:p>
    <w:p>
      <w:r>
        <w:t>L'avocat ne soutient pas non plus qu'une constatation de l'irrégularité dont il se plaint (soit un déni de justice formel) permettrait une réparation immédiate au sens de la jurisprudence précitée. La réparation accordée au prévenu en raison de la privation de liberté ou de mesures de contrainte illicites, est désormais réglée aux art. 429 et 431 CPP . L'autorité pénale examine d'office les prétentions élevées à ce titre par le prévenu ( art. 429 al. 2 CPP ). C'est également par un autre biais qu'il conviendrait, le cas échéant, d'agir en raison des circonstances dans lesquelles le recourant est décédé. Enfin, la décision attaquée a été rendue sans frais, de sorte qu'il n'y a pas non plus d'intérêt à une annulation sur ce point.</w:t>
      </w:r>
    </w:p>
    <w:p>
      <w:r>
        <w:rPr>
          <w:b/>
        </w:rPr>
        <w:t>E. 1.3</w:t>
      </w:r>
    </w:p>
    <w:p>
      <w:r>
        <w:t>Il n'existe dès lors plus d'intérêt actuel et juridique à ce qu'il soit statué sur le recours. Celui-ci doit dès lors être déclaré sans objet, et la cause rayée du rôle.</w:t>
      </w:r>
    </w:p>
    <w:p>
      <w:r>
        <w:rPr>
          <w:b/>
        </w:rPr>
        <w:t>E. 2</w:t>
      </w:r>
    </w:p>
    <w:p>
      <w:r>
        <w:t>Selon l' art. 72 PCF , le sort des frais judiciaires et des dépens doit être décidé en tenant compte de l'état de choses existant avant le fait mettant fin au litige. Point n'est besoin d'examiner si le recours présentait des chances de succès suffisantes pour justifier l'octroi de dépens. Le recourant a en effet demandé l'assistance judiciaire et celle-ci peut, compte tenu des circonstances, être accordée. Me Sébastien Fanti est désigné comme avocat d'office et ses honoraires sont payés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