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1B_717/2011 vom 13. Januar 2012</w:t>
      </w:r>
    </w:p>
    <w:p>
      <w:r>
        <w:t>Bundesgericht, 2012-01-13, DE</w:t>
      </w:r>
    </w:p>
    <w:p>
      <w:r>
        <w:rPr>
          <w:b/>
        </w:rPr>
        <w:t xml:space="preserve">Quelle: </w:t>
      </w:r>
      <w:r>
        <w:t>https://mcp.opencaselaw.ch/entscheid/bger_1B_717_2011</w:t>
      </w:r>
    </w:p>
    <w:p>
      <w:r>
        <w:t>FR: TF 1B_717/2011 du 13 janvier 2012</w:t>
      </w:r>
    </w:p>
    <w:p>
      <w:r>
        <w:t>IT: TF 1B_717/2011 del 13 gennaio 2012</w:t>
      </w:r>
    </w:p>
    <w:p>
      <w:pPr>
        <w:pStyle w:val="Heading2"/>
      </w:pPr>
      <w:r>
        <w:t>Erwägungen</w:t>
      </w:r>
    </w:p>
    <w:p>
      <w:r>
        <w:rPr>
          <w:b/>
        </w:rPr>
        <w:t>E. 1</w:t>
      </w:r>
    </w:p>
    <w:p>
      <w:r>
        <w:t>Angefochten ist ein letztinstanzlicher kantonaler Entscheid in einer Strafsache, gegen den gemäss Art. 78 ff. BGG grundsätzlich die Beschwerde in Strafsachen offen steht. Beim Beschluss des Kantonsgerichts handelt es sich um einen selbstständig eröffneten Zwischenentscheid, der einen nicht wieder gutzumachenden Nachteil im Sinne von Art. 93 Abs. 1 lit. a BGG bewirken kann. Der Beschwerdeführer nahm vor der Vorinstanz am Verfahren teil und hat ein aktuelles rechtlich geschütztes Interesse an der Aufhebung des angefochtenen Entscheids, da er sich weiterhin in Haft befindet. Er ist nach Art. 81 Abs. 1 BGG zur Beschwerde berechtigt. Das Bundesgericht kann nach Art. 107 Abs. 2 BGG bei Gutheissung der Beschwerde in der Sache selbst entscheiden. Der Antrag auf Haftentlassung ist somit zulässig. Auf die Beschwerde ist einzutreten.</w:t>
      </w:r>
    </w:p>
    <w:p>
      <w:r>
        <w:rPr>
          <w:b/>
        </w:rPr>
        <w:t>E. 2</w:t>
      </w:r>
    </w:p>
    <w:p>
      <w:r>
        <w:t>Nach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Das zuständige Gericht ordnet gemäss Art. 237 Abs. 1 StPO an Stelle der Untersuchungs- oder Sicherheitshaft eine oder mehrere mildere Massnahmen an, wenn sie den gleichen Zweck wie die Haft erfüllen.</w:t>
      </w:r>
    </w:p>
    <w:p>
      <w:r>
        <w:t>Die Auslegung und die Anwendung der im Bundesrecht geregelten Voraussetzungen für die mit strafprozessualen Zwangsmassnahmen einhergehenden Grundrechtsbeschränkungen prüft das Bundesgericht mit freier Kognition ( Art. 95 lit. a BGG ; Urteile 1B_579/2011 vom 1. November 2011 E. 2 und 1B_126/2011 vom 6. April 2011 E. 2, nicht publ. in: BGE 137 IV 84 ;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Der Beschwerdeführer bestreitet den dringenden Tatverdacht nicht. Er rügt jedoch, die Vorinstanz habe die besonderen Haftgründe der Wiederholungs- und Fluchtgefahr zu Unrecht bejaht.</w:t>
      </w:r>
    </w:p>
    <w:p>
      <w:r>
        <w:rPr>
          <w:b/>
        </w:rPr>
        <w:t>E. 3.1</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w:t>
      </w:r>
    </w:p>
    <w:p>
      <w:r>
        <w:t>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Hinweisen). Bei der Annahme, dass eine beschuldigte Person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Wiederholungsgefahr ist nach der bundesgerichtlichen Praxis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 ff. S. 17 ff. ; 135 I 71 E. 2.3 S. 73; je mit Hinweisen).</w:t>
      </w:r>
    </w:p>
    <w:p>
      <w:r>
        <w:rPr>
          <w:b/>
        </w:rPr>
        <w:t>E. 3.2</w:t>
      </w:r>
    </w:p>
    <w:p>
      <w:r>
        <w:t>In ihren Ausführungen zum besonderen Haftgrund der Wiederholungsgefahr hat die Vorinstanz erwogen, der Beschwerdeführer sei mehrfach einschlägig vorbestraft und ihm würden im vorliegenden Verfahren erneut gravierende Vermögensdelikte mit einer sehr hohen Deliktssumme und vielen Geschädigten angelastet. Bereits im psychiatrischen Gutachten des Psychiatrischen Diensts Unterseen vom 2. September 2009 sei beim Beschwerdeführer eine mittelschwer bis schwer ausgeprägte Aktivitäts- und Aufmerksamkeitsstörung, eine Persönlichkeitsstörung sowie eine Kokainabhängigkeit diagnostiziert worden, welche mit den vorgeworfenen Taten in kausalem Zusammenhang stünden. Dr. med. Peter Wermuth, FMH Psychiatrie und Psychotherapie, sei in seinem Vorabgutachten vom 10. März 2011 zum Schluss gekommen, das gegenwärtige Risiko, dass der Beschwerdeführer bei einer Haftentlassung erneut Delikte nach Art und Umfang der bisherigen begehen würde, sei als sehr hoch einzuschätzen. Aus dem Gutachten der Psychiatrischen Dienste Frutigen, Meiringen, Interlaken vom 8. August 2011 ergebe sich schliesslich, dass der Beschwerdeführer (weiterhin) an einer Aktivitäts- und Aufmerksamkeitsstörung und an einer kombinierten Persönlichkeitsstörung mit disozialen und narzisstischen Anteilen leide. Konkret zur Rückfallgefahr befragt hätten die Gutachter ausgeführt, es sei aus psychiatrischer Sicht davon auszugehen, dass der Beschwerdeführer erneut Straftaten nach dem bisherigen Muster verüben würde, sofern nach der Haftentlassung keine konsequente ambulante psychiatrisch-psychotherapeutische Behandlung inklusive angemessener und laufend evaluierter Psychopharmakatherapie durchgeführt werde und sich die Lebensverhältnisse des Beschwerdeführers (Beziehungen, soziale Kontakte, gesichertes Arbeitsverhältnis, Schuldensanierung) nicht stabilisierten. Die Vorinstanz hat hervorgehoben, dass eine solche engmaschige psychiatrisch-psychotherapeutische Behandlung derzeit nicht erfolge. Da sich der Beschwerdeführer bislang geweigert habe, einer Entbindung vom Arztgeheimnis zuzustimmen, lägen keine Informationen über die aktuell durchgeführte Behandlung bei den Externen Psychiatrischen Diensten (EPD) Liestal vor. Einer ärztlichen Bestätigung der EPD Liestal vom 4. Oktober 2011 sei lediglich zu entnehmen, dass eine Psychotherapie im engeren Sinn mit dem Beschwerdeführer unter den gegenwärtigen Bedingungen der Untersuchungshaft nur in Ansätzen möglich sei. Die Verhältnisse seien mithin unklar und könnten nicht als stabil qualifiziert werden.</w:t>
      </w:r>
    </w:p>
    <w:p>
      <w:r>
        <w:t>Im Ergebnis - so hat die Vorinstanz geschlossen - sei der besondere Haftgrund der Wiederholungsgefahr zu bejahen.</w:t>
      </w:r>
    </w:p>
    <w:p>
      <w:r>
        <w:rPr>
          <w:b/>
        </w:rPr>
        <w:t>E. 3.3</w:t>
      </w:r>
    </w:p>
    <w:p>
      <w:r>
        <w:t>Der Beschwerdeführer wendet ein, seine einschlägigen Vorstrafen sprächen nicht automatisch für das Vorliegen von Wiederholungsgefahr. Aus dem psychiatrischen Gutachten der Psychiatrischen Dienste Frutigen, Meiringen, Interlaken vom 8. August 2011 könne vielmehr gefolgert werden, dass eine allfällig bestehende Wiederholungsgefahr durch Anordnung einer engmaschigen ambulanten Psychotherapie gebannt werden könne. Dieses Gutachten sei daher zur Begründung des besonderen Haftgrunds der Wiederholungsgefahr nicht geeignet.</w:t>
      </w:r>
    </w:p>
    <w:p>
      <w:r>
        <w:rPr>
          <w:b/>
        </w:rPr>
        <w:t>E. 3.4</w:t>
      </w:r>
    </w:p>
    <w:p>
      <w:r>
        <w:t>Entgegen den Ausführungen in der Beschwerde verletzt der unter Hinweis auf die deliktische Vergangenheit des Beschwerdeführers und unter Bezugnahme auf die eingeholten psychiatrischen Gutachten gezogene Schluss der Vorinstanz, der besondere Haftgrund der Wiederholungsgefahr sei gegeben, kein Bundesrecht.</w:t>
      </w:r>
    </w:p>
    <w:p>
      <w:r>
        <w:t>Der Beschwerdeführer wurde mehrfach insbesondere wegen Betrugs verurteilt und ist damit einschlägig vorbestraft (Urteil des Obergerichts Luzern vom 9. Februar 1996, Urteil des Bezirksgerichts Zürich vom 18. April 2000, Urteil des Amtsgerichts Olten-Gösgen vom 16. Mai 2007, Urteil des Untersuchungsrichteramts III Bern-Mittelland vom 10. September 2007 und Urteil des Obergerichts des Kantons Bern vom 23. Juli 2010). Beim Tatbestand des Betrugs ( Art. 146 StGB ) handelt es sich um ein Verbrechen ( Art. 10 Abs. 2 StGB ). Das Vortatenerfordernis ist damit erfüllt und die bei einer Haftentlassung zu befürchtenden Delikte sind von schwerer Natur.</w:t>
      </w:r>
    </w:p>
    <w:p>
      <w:r>
        <w:t>Ebenso ist die Rückfallprognose sehr ungünstig. Die in der Vergangenheit mehrfach angeordnete Untersuchungshaft und die Verurteilung zu einer Freiheitsstrafe im Jahr 2009 bzw. 2010 haben den Beschwerdeführer nicht davon abgehalten, weiter zu delinquieren. Nach Einschätzung von Dr. med. Peter Wermuth, FMH Psychiatrie und Psychotherapie, in seinem Vorabgutachten vom 10. März 2011 ist das Risiko erneuter gleichartiger Delinquenz des Beschwerdeführers als sehr hoch einzustufen. Die Rückfallgefahr wird auch im psychiatrischen Gutachten der Psychiatrischen Dienste Frutigen, Meiringen, Interlaken vom 8. August 2011 bejaht, wenn ausgeführt wird, es sei aus psychiatrischer Sicht davon auszugehen, dass der Beschwerdeführer erneut Straftaten nach dem bisherigen Muster verüben werde, sofern nach der Haftentlassung keine konsequente ambulante psychiatrisch-psychotherapeutische Behandlung inklusive angemessener und laufend evaluierter Psychopharmakatherapie durchgeführt werde und sich die Lebensverhältnisse des Beschwerdeführers nicht stabilisierten. Wie die Vorinstanz, ohne Bundesrecht zu missachten, festgestellt hat, sind diese im psychiatrischen Gutachten genannten Voraussetzungen für eine Reduktion des Risikos neuerlicher Straftaten vorliegend nicht erfüllt. Gegenteiliges wird denn vom Beschwerdeführer auch nicht substanziiert vorgebracht.</w:t>
      </w:r>
    </w:p>
    <w:p>
      <w:r>
        <w:t>Da nach dem Gesagten der besondere Haftgrund der Wiederholungsgefahr zu bejahen ist, erübrigt es sich, auf die Ausführungen des Beschwerdeführers zur Fluchtgefahr einzugehen.</w:t>
      </w:r>
    </w:p>
    <w:p>
      <w:r>
        <w:rPr>
          <w:b/>
        </w:rPr>
        <w:t>E. 4</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