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1B_712/2011 vom 3. April 2012</w:t>
      </w:r>
    </w:p>
    <w:p>
      <w:r>
        <w:t>Bundesgericht, 2012-04-03, FR</w:t>
      </w:r>
    </w:p>
    <w:p>
      <w:r>
        <w:rPr>
          <w:b/>
        </w:rPr>
        <w:t xml:space="preserve">Quelle: </w:t>
      </w:r>
      <w:r>
        <w:t>https://mcp.opencaselaw.ch/entscheid/bger_1B_712_2011</w:t>
      </w:r>
    </w:p>
    <w:p>
      <w:r>
        <w:t>FR: TF 1B_712/2011 du 3 avril 2012</w:t>
      </w:r>
    </w:p>
    <w:p>
      <w:r>
        <w:t>IT: TF 1B_712/2011 del 3 aprile 2012</w:t>
      </w:r>
    </w:p>
    <w:p>
      <w:pPr>
        <w:pStyle w:val="Heading2"/>
      </w:pPr>
      <w:r>
        <w:t>Erwägungen</w:t>
      </w:r>
    </w:p>
    <w:p>
      <w:r>
        <w:rPr>
          <w:b/>
        </w:rPr>
        <w:t>E. 1</w:t>
      </w:r>
    </w:p>
    <w:p>
      <w:r>
        <w:t>La décision attaquée a été rendue en matière pénale au sens de l' art. 78 LTF . Elle a un caractère final ( art. 90 LTF ) et émane de l'autorité cantonale de dernière instance ( art. 80 LTF ). La recourante a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rPr>
          <w:b/>
        </w:rPr>
        <w:t>E. 1.2</w:t>
      </w:r>
    </w:p>
    <w:p>
      <w:r>
        <w:t>Lorsque, comme en l'espèce, le recours est dirigé contre une décision de classement ou de non-entrée en matière,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1.3</w:t>
      </w:r>
    </w:p>
    <w:p>
      <w:r>
        <w:t>La recourante estime que la décision attaquée empêcherait qu'il soit statué à propos des frais de procédure, ce qui la priverait de l'indemnisation à laquelle elle aurait droit sur ce point, conformément à l' art. 426 al. 1 CPP . La recourante ajoute dans ses griefs de fond que le dommage subi ne se limite pas aux arriérés de pensions, mais s'étendrait aux intérêts et frais de recouvrement, ainsi qu'aux frais de la procédure pénale. Cela ne saurait toutefois suffire à fonder sa qualité pour recourir.</w:t>
      </w:r>
    </w:p>
    <w:p>
      <w:r>
        <w:t>Les prétentions civiles au sens de l'art. 81 al. 1 let. b ch. 5 LTF sont celles qui découlent directement de l'infraction (cf. art. 115 al. 1 CPP s'agissant de la notion de lésé). On peut dès lors se demander si les "frais de recouvrement" peuvent faire l'objet de telles prétentions. Quoiqu'il en soit, la recourante n'explique nullement en quoi consisteraient ces frais, ni quel serait leur montant, alors que cette obligation lui incombe. Il en va de même s'agissant des intérêts. Il ressort d'ailleurs de l'arrêt cantonal que l'intimé s'est acquitté de l'entier de la dette échue et réclamée par la recourante, y compris les frais de rappel facturés par l'établissement scolaire. Quant aux frais de la procédure pénale - soit 5'400 fr. de frais d'avocat, selon la note produite en annexe au recours cantonal -, ils ne sauraient constituer une prétention civile au sens de l'art. 81 al. 1 let. a et b ch. 5 LTF puisque l'indemnisation à raison de ces frais est prévue par le droit de procédure (soit notamment l' art. 433 CPP concernant la partie plaignante). Admettre un droit de recours à raison de telles prétentions permettrait de contourner systématiquement la règle de l'art. 81 al. 1 let. a et b ch. 5 LTF, indépendamment des prétentions de fond que la partie plaignante entend élever.</w:t>
      </w:r>
    </w:p>
    <w:p>
      <w:r>
        <w:rPr>
          <w:b/>
        </w:rPr>
        <w:t>E. 2</w:t>
      </w:r>
    </w:p>
    <w:p>
      <w:r>
        <w:t>Sur le vu de ce qui précède, le recours est irrecevable. Conformément aux art. 66 al. 1 et 68 al. 2 LTF, les frais judiciaires sont mis à la charge de la recourante, de même qu'une indemnité de dépens allouée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