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1B_708/2012 vom 13. Dezember 2012</w:t>
      </w:r>
    </w:p>
    <w:p>
      <w:r>
        <w:t>Bundesgericht, 2012-12-13, FR</w:t>
      </w:r>
    </w:p>
    <w:p>
      <w:r>
        <w:rPr>
          <w:b/>
        </w:rPr>
        <w:t xml:space="preserve">Quelle: </w:t>
      </w:r>
      <w:r>
        <w:t>https://mcp.opencaselaw.ch/entscheid/bger_1B_708_2012</w:t>
      </w:r>
    </w:p>
    <w:p>
      <w:r>
        <w:t>FR: TF 1B_708/2012 du 13 décembre 2012</w:t>
      </w:r>
    </w:p>
    <w:p>
      <w:r>
        <w:t>IT: TF 1B_708/2012 del 13 dicembre 2012</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3.1</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 ATF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t>En matière de contrôle de la détention, il convient encore de rappeler qu'il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A teneur des constatations cantonales, le recourant aurait procuré une arme à feu aux auteurs d'un brigandage et d'une tentative de brigandage exécutés respectivement le 20 avril et le 22 juillet 2011. La cour cantonale se fonde en particulier sur les déclarations du prévenu B.________ qui a affirmé avoir reçu de l'argent de la part du recourant pour acheter une arme à feu. Le recourant oppose à cet élément de fait les divergences existant entre ses propres déclarations et celles du prévenu B.________; il reproche à la cour cantonale de ne pas expliquer pourquoi elle a donné plus de poids aux affirmations du prévenu B.________ qu'à ses propres explications; il souligne que le prévenu B.________ aurait varié dans ses déclarations et aurait admis connaître des problèmes de mémoire en raison de sa toxicomanie passée. Ce faisant, il critique l'appréciation des preuves à laquelle a procédé souverainement l'autorité cantonale, sans démontrer en quoi le résultat de cette appréciation serait arbitraire. Ses griefs ne sont en particulier pas suffisants à démontrer que les juges cantonaux auraient omis de prendre en compte des éléments déterminants pour établir les charges pesant contre lui.</w:t>
      </w:r>
    </w:p>
    <w:p>
      <w:r>
        <w:t>Le recourant se prévaut en outre du fait que les prévenus à la procédure s'accorderaient désormais à situer à une date postérieure au premier brigandage la remise de l'arme à feu au prévenu D.________; il cite aussi deux autres prévenus selon lesquels le second brigandage aurait été perpétré au moyen d'une arme factice. Là encore, la cour cantonale pouvait sans arbitraire se fonder, en l'état du dossier et en l'absence d'éléments objectifs contraires, sur les premières déclarations recueillies à la procédure pour retenir de sérieux soupçons de complicité de brigandage qualifié.</w:t>
      </w:r>
    </w:p>
    <w:p>
      <w:r>
        <w:t>S'agissant de l'implication du recourant dans un trafic de stupéfiants, la cour cantonale s'est fondée sur les premières déclarations du prévenu B.________, sur celles de C.________ ainsi que sur le contenu de conversations téléphoniques. Le recourant - qui ne remet pas en cause ce qu'a dit C.________ - se prévaut certes des modifications intervenues avec le temps dans les déclarations du prévenu B.________ et prétend que les écoutes téléphoniques avaient trait à des médicaments et non à de la cocaïne. Ces assertions ne suffisent cependant pas - contrairement à ce qu'avance le recourant - à démontrer que les faits retenus seraient "en contradiction totale avec les éléments du dossier". L'établissement de ces faits est le résultat de l'appréciation à laquelle a procédé la cour cantonale et l'argumentation développée à ce sujet par le recourant est de nature purement appellatoire, ce qui n'est pas recevable devant le Tribunal fédéral, ce dernier n'étant pas une instance d'appel ( ATF 136 II 101 consid. 3 p. 104 s.).</w:t>
      </w:r>
    </w:p>
    <w:p>
      <w:r>
        <w:t>Ce raisonnement vaut également pour la question du vol des ordonnances médicales au préjudice du Dr E.________: il ne suffit en particulier pas d'opposer à l'appréciation souveraine des preuves par la cour cantonale un extrait du procès-verbal de ce médecin. Dans la mesure où le recourant n'est pas prévenu de vol, on ne discerne en tout état pas en quoi cette contestation de fait serait susceptible d'influer sur le sort du litige ( art. 97 al. 1 LTF ).</w:t>
      </w:r>
    </w:p>
    <w:p>
      <w:r>
        <w:rPr>
          <w:b/>
        </w:rPr>
        <w:t>E. 3.3</w:t>
      </w:r>
    </w:p>
    <w:p>
      <w:r>
        <w:t>Il s'ensuit que, sur tous les points relevés ci-dessus, le Tribunal fédéral est lié par les faits retenus dans l'arrêt attaqué, conformément à l' art. 105 al. 1 LTF .</w:t>
      </w:r>
    </w:p>
    <w:p>
      <w:r>
        <w:rPr>
          <w:b/>
        </w:rPr>
        <w:t>E. 4</w:t>
      </w:r>
    </w:p>
    <w:p>
      <w:r>
        <w:t>Le recourant reproche à la cour cantonale d'avoir retenu à son encontre l'existence d'un risque de récidive.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publié in SJ 2011 I 484).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Le recourant est poursuivi pour avoir procuré une arme à feu aux auteurs de deux brigandages, l'un achevé et l'autre tenté. Des charges suffisantes pèsent contre lui pour être impliqué dans une transaction - qui n'a finalement pas eu lieu - portant sur une quantité d'un kilo de cocaïne (cf. consid. 3.2). En outre, le recourant ne remet pas en cause la prévention d'escroquerie, d'usure et de recel qui a été retenue contre lui en relation, d'une part, avec des prêts et baux usuraires et, d'autre part, avec des escroqueries à l'assurance. Ces infractions reposent sur des éléments suffisamment probants pour être pris en considération.</w:t>
      </w:r>
    </w:p>
    <w:p>
      <w:r>
        <w:t>La complicité de brigandage qualifié et l'infraction grave à la LStup constituent des crimes susceptibles de compromettre sérieusement la sécurité d'autrui (cf. arrêt 1B_562/2012 du 17 octobre 2012 consid. 4.3). Par ailleurs, les juges cantonaux se sont référés aux infractions contre le patrimoine imputées au recourant qu'ils ont - à raison - qualifiées de non dénuées de gravité. Enfin, ils ont pris en compte la situation personnelle du recourant, rappelant que celui-ci n'avait jamais été condamné. Au vu de ces éléments, ils ont préféré faire prévaloir l'intérêt à la sécurité publique sur la liberté personnelle du prévenu. Une telle pesée des intérêts paraît en l'espèce conforme à la jurisprudence et ne viole ainsi pas le droit fédéral (arrêt 1B_133/2011 du 12 avril 2011 consid. 4.7 publié in SJ 2011 I 484).</w:t>
      </w:r>
    </w:p>
    <w:p>
      <w:r>
        <w:rPr>
          <w:b/>
        </w:rPr>
        <w:t>E. 4.3</w:t>
      </w:r>
    </w:p>
    <w:p>
      <w:r>
        <w:t>Par conséquent, le recours doit être rejeté sur ce point.</w:t>
      </w:r>
    </w:p>
    <w:p>
      <w:r>
        <w:rPr>
          <w:b/>
        </w:rPr>
        <w:t>E. 5</w:t>
      </w:r>
    </w:p>
    <w:p>
      <w:r>
        <w:t>En dernier lieu, le recourant se plaint d'une violation des principes de proportionnalité et de célérité. Il estime que la durée de la détention provisoire dépasse la durée probable de la peine privative de liberté à laquelle il faut s'attendre. Il relève qu'aucune mesure d'instruction n'a été opérée depuis l'audition du Dr E.________, le 12 septembre 2012.</w:t>
      </w:r>
    </w:p>
    <w:p>
      <w:r>
        <w:rPr>
          <w:b/>
        </w:rPr>
        <w:t>E. 5.1</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 A moins que celui-ci soit d'emblée évident, il n'y a pas lieu de prendre en compte un éventuel sursis (cf. ATF 133 I 270 consid. 3.4.2 p. 282).</w:t>
      </w:r>
    </w:p>
    <w:p>
      <w:r>
        <w:t>La critique du recourant à ce sujet part de la prémisse que la prévention de complicité de brigandage qualifié et d'infraction grave à la LStup devrait être écartée. Or, pour les motifs exposés précédemment, cette prémisse est erronée (cf. consid. 3.2). La critique se révèle ainsi dénuée de fondement et le recours doit être rejeté. En tout état, en regard du nombre et de la gravité des infractions reprochées au recourant, une condamnation pour l'ensemble de ces faits est susceptible d'entraîner le prononcé d'une peine privative de liberté encore compatible avec la durée de la détention provisoire. En outre, l'absence d'antécédents judiciaires ne permet pas d'emblée d'affirmer que la peine sera assortie du sursis.</w:t>
      </w:r>
    </w:p>
    <w:p>
      <w:r>
        <w:rPr>
          <w:b/>
        </w:rPr>
        <w:t>E. 5.2</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ATF 128 I 149 consid. 2.2.1 p. 151 s.).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t>Pour démontrer qu'un retard injustifié serait imputable aux autorités de poursuite pénale, le recourant se limite à affirmer qu'aucune mesure d'instruction n'a été entreprise depuis "deux mois déjà". Cet élément ne permet pas à lui seul d'établir un retard injustifié dans l'avancement de cette procédure. A cet égard, il faut rappeler que cette procédure - impliquant plusieurs prévenus - a nécessité des commissions rogatoires, notamment en Serbie (cf. arrêt 1B_562/2012 du 17 octobre 2012 consid. 5 auquel le Tribunal cantonal s'est référé dans la décision attaquée). Une absence, pendant un certain temps, d'acte d'instruction concernant directement le recourant ne laisse ainsi pas apparaître une incapacité de l'autorité à conduire la procédure à chef dans un délai raisonnable. Cela étant, comme l'a d'ailleurs relevé le Tribunal fédéral dans la même affaire (arrêt 1B_562/2012 du 17 octobre 2012 consid. 5), il convient désormais, afin d'échapper à toute critique ultérieure et au vu de la durée de la détention déjà subie, de faire progresser l'enquête en vue d'un prochain renvoi en jugement.</w:t>
      </w:r>
    </w:p>
    <w:p>
      <w:r>
        <w:rPr>
          <w:b/>
        </w:rPr>
        <w:t>E. 6</w:t>
      </w:r>
    </w:p>
    <w:p>
      <w:r>
        <w:t>Il s'ensuit que le recours doit être entièrement rejeté, dans la mesure où il est recevable. Le recourant a demandé l'assistance judiciaire et les conditions en paraissent réunies ( art. 64 al. 1 LTF ). Il y a lieu de désigner Me Christian Dénériaz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