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1B_6/2023 vom 7. März 2023</w:t>
      </w:r>
    </w:p>
    <w:p>
      <w:r>
        <w:t>Bundesgericht, 2023-03-07, DE</w:t>
      </w:r>
    </w:p>
    <w:p>
      <w:r>
        <w:rPr>
          <w:b/>
        </w:rPr>
        <w:t xml:space="preserve">Quelle: </w:t>
      </w:r>
      <w:r>
        <w:t>https://mcp.opencaselaw.ch/entscheid/bger_1B_6_2023</w:t>
      </w:r>
    </w:p>
    <w:p>
      <w:r>
        <w:t>FR: TF 1B_6/2023 du 7 mars 2023</w:t>
      </w:r>
    </w:p>
    <w:p>
      <w:r>
        <w:t>IT: TF 1B_6/2023 del 7 marzo 2023</w:t>
      </w:r>
    </w:p>
    <w:p>
      <w:pPr>
        <w:pStyle w:val="Heading2"/>
      </w:pPr>
      <w:r>
        <w:t>Erwägungen</w:t>
      </w:r>
    </w:p>
    <w:p>
      <w:r>
        <w:rPr>
          <w:b/>
        </w:rPr>
        <w:t>E. 1.1</w:t>
      </w:r>
    </w:p>
    <w:p>
      <w:r>
        <w:t>Angefochten ist einerseits der Entscheid des Appellationsgerichts vom 8. Dezember 2022 und damit ein kantonal letztinstanzlicher Entscheid, mit es das Strafgericht angewiesen hat, seine Aktenführung in bestimmten Punkten zu verbessern; dagegen ist die Beschwerde in Strafsachen zulässig ( Art. 78 Abs. 1, Art. 80 BGG ).</w:t>
      </w:r>
    </w:p>
    <w:p>
      <w:r>
        <w:t>Anderseits wirft der Beschwerdeführer dem Strafgericht Rechtsverzögerung bzw. -verweigerung vor, da es das ihm bereits vor über viereinhalb Jahren überwiesene Strafverfahren nicht angemessen vorangetrieben und das Urteil BES.2017.148 des Appellationsgerichts vom 5. Dezember 2018 nicht vollzogen habe. Diese Rügen hat er indessen in seiner Beschwerde ans Appellationsgericht nicht erhoben, sie waren damit nicht Streitgegenstand des angefochtenen Entscheids vom 8. Dezember 2022. Sie sind neu und damit mangels Ausschöpfung des Rechtsmittelzugs von vornherein unzulässig. Es ist nicht Sache des Bundesgerichts, als erste Instanz Verfahrenshandlungen oder Unterlassungen erstinstanzlicher kantonaler Gerichte zu beurteilen.</w:t>
      </w:r>
    </w:p>
    <w:p>
      <w:r>
        <w:rPr>
          <w:b/>
        </w:rPr>
        <w:t>E. 1.2</w:t>
      </w:r>
    </w:p>
    <w:p>
      <w:r>
        <w:t>Grundsätzlich zulässig ist somit die Beschwerde, soweit sie sich gegen den Entscheid des Appellationsgerichts vom 8. Dezember 2022 richtet. Dieser schliesst das Strafverfahren allerdings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legt unter Verletzung seiner gesetzlichen Begründungspflicht nicht dar, inwiefern ihm durch den angefochtenen Entscheid ein nicht wiedergutzumachender Nachteil droht, und das ist auch nicht ersichtlich. Ihm wurde bereits in der Verfügung des präsidierenden Mitglieds vom 24. Januar 2023 erläutert, dass er Kritik an den Akten und der Aktenführung an der Hauptverhandlung vorbringen kann.</w:t>
      </w:r>
    </w:p>
    <w:p>
      <w:r>
        <w:rPr>
          <w:b/>
        </w:rPr>
        <w:t>E. 2</w:t>
      </w:r>
    </w:p>
    <w:p>
      <w:r>
        <w:t>Auf die Beschwerde ist damit im vereinfachen Verfahren nicht einzutreten. Bei diesem Ausgang des Verfahrens wird der Beschwerdeführer kostenpflichtig.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