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6/2017 vom 8. Februar 2017</w:t>
      </w:r>
    </w:p>
    <w:p>
      <w:r>
        <w:t>Bundesgericht, 2017-02-08, FR</w:t>
      </w:r>
    </w:p>
    <w:p>
      <w:r>
        <w:rPr>
          <w:b/>
        </w:rPr>
        <w:t xml:space="preserve">Quelle: </w:t>
      </w:r>
      <w:r>
        <w:t>https://mcp.opencaselaw.ch/entscheid/bger_1B_6_2017</w:t>
      </w:r>
    </w:p>
    <w:p>
      <w:r>
        <w:t>FR: TF 1B 6/2017 du 8 février 2017</w:t>
      </w:r>
    </w:p>
    <w:p>
      <w:r>
        <w:t>IT: TF 1B 6/2017 del 8 febbraio 2017</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au sens des art. 212 ss CPP ( ATF 137 IV 22 consid. 1 p. 23). Postérieurement au dépôt du présent recours, la détention du recourant a été confirmée par deux ordonnances du Tmc et, le 20 janvier 2017, il a été libéré à la suite de la mise en place de différentes mesures de substitution. Vu sa conclusion en constatation de l'illicéité de sa détention, le recourant conserve toutefois un intérêt juridique au contrôle de la décision ayant confirmé le rejet de sa demande de mise en liberté du 18 novembre 2016 ( art. 81 al. 1 LTF ). Les autres conditions de recevabilité ne posent pas de question particulière, de sorte qu'il convient d'entrer en matière.</w:t>
      </w:r>
    </w:p>
    <w:p>
      <w:r>
        <w:rPr>
          <w:b/>
        </w:rPr>
        <w:t>E. 2</w:t>
      </w:r>
    </w:p>
    <w:p>
      <w:r>
        <w:t>Le Tribunal fédéral statue sur la base des constatations de fait retenues dans l'arrêt attaqué. Il peut les compléter ou les rectifier d'office lorsqu'elles ont été établies en violation du droit ou de façon manifestement inexacte, c'est-à-dire de manière arbitraire ( art. 105 al. 1 et 2 LTF ). Aucun fait nouveau, ni preuve nouvelle ne peut être présenté à moins de résulter de la décision de l'autorité précédente ( art. 99 al. 1 LTF ). Contestant l'appréciation effectuée par l'autorité précédente eu égard à ses démarches auprès des HUG afin de mettre en place un traitement médical, le recourant produit les courriers adressés à cette institution les 22 et 28 décembre 2016. L'art. 99 al. 1 in fine LTF ne permet cependant pas au recourant de pallier le défaut de motivation retenu par la cour cantonale. Cela vaut d'autant plus que les pièces produites sont en l'espèce ultérieures à l'arrêt entrepris; or, les vrais novas sont exclus devant le Tribunal fédéral ( ATF 139 III 120 consid. 3.1.2 p. 123). Partant, ces pièces sont irrecevables.</w:t>
      </w:r>
    </w:p>
    <w:p>
      <w:r>
        <w:rPr>
          <w:b/>
        </w:rPr>
        <w:t>E. 3</w:t>
      </w:r>
    </w:p>
    <w:p>
      <w:r>
        <w:t>Le recourant ne remet pas en cause l'existence de charges suffisantes à son encontre ( art. 221 al. 1 CPP ), ni la proportionnalité de la durée de la détention subie. Invoquant des violations des art. 5, 10 CEDH et 221 CPP, il reproche en revanche à l'autorité précédente d'avoir retenu un risque de réitération. Il soutient en substance que, vu l'absence d'antécédent, la menace d'une atteinte au bien juridique protégé par l'infraction reprochée - "la santé des consommateurs de marijuana genevois" - ne justifierait pas le risque retenu.</w:t>
      </w:r>
    </w:p>
    <w:p>
      <w:r>
        <w:rPr>
          <w:b/>
        </w:rPr>
        <w:t>E. 3.1</w:t>
      </w:r>
    </w:p>
    <w:p>
      <w:r>
        <w:t>Selon l' art. 221 al. 1 let . c CPP un risque de récidive peut être admis à trois conditions : en premier lieu, le prévenu doit en principe déjà avoir commis des infractions (crimes ou délits graves) du même genre (pour une exception à cette exigence, cf. ci-après consid. 3.1.2); deuxièmement, la sécurité d'autrui doit être sérieusement compromise; troisièmement, une réitération doit, sur la base d'un pronostic, être sérieusement à craindre (arrêt 1B_373/2016 du 23 novembre 2016 consid. 2.5 destiné à la publication).</w:t>
      </w:r>
    </w:p>
    <w:p>
      <w:r>
        <w:rPr>
          <w:b/>
        </w:rPr>
        <w:t>E. 3.1.1</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Selon la jurisprudence, l'importance de la sécurité d'autrui, respectivement la santé publique, entre également en considération en cas d'infractions qualifiées à la loi sur les stupéfiants, notamment lorsque celles-ci sont commises en bande et par métier dans le cadre d'un trafic de cannabis d'une certaine envergure (arrêt 1B_373/2016 du 23 novembre 2016 consid. 2.6 et 2.7 destinés à la publication citant en particulier les arrêts 1B_126/2011 du 6 avril 2011 consid. 3.7 et 1B_538/20111 du 17 octobre 2011 consid. 3.4).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(arrêt 1B_373/2016 du 23 novembre 2016 consid. 2.8 destiné à la publication).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 1B_373/2016 du 23 novembre 2016 consid. 2.9 destiné à la publication).</w:t>
      </w:r>
    </w:p>
    <w:p>
      <w:r>
        <w:rPr>
          <w:b/>
        </w:rPr>
        <w:t>E. 3.1.2</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 arrêt 1B_373/2016 du 23 novembre 2016 consid. 2.3.1 destiné à la publication).</w:t>
      </w:r>
    </w:p>
    <w:p>
      <w:r>
        <w:rPr>
          <w:b/>
        </w:rPr>
        <w:t>E. 3.2</w:t>
      </w:r>
    </w:p>
    <w:p>
      <w:r>
        <w:t>En l'occurrence, le recourant est dénué d'antécédent. Le trafic qui lui est reproché paraît en l'état ne pas concerner d'autre stupéfiant que de la marijuana et/ou du haschich. Toutefois, vu la vente d'au moins 12 kg reprochée au recourant, l'ampleur de l'activité illicite déployée ne peut pas être ignorée. Dans le cadre de l'examen d'un éventuel risque de récidive, il y a également lieu de prendre en compte les circonstances particulières - positives et négatives - du cas d'espèce au moment où celui-ci est soumis à l'autorité cantonale. Il y a lieu ainsi de relever la consommation personnelle importante de différents stupéfiants par le recourant, son financement préalablement par le biais du trafic examiné (jusqu'à 7'500 fr. par mois), l'absence de revenu mis à part les prestations de l'assistance publique (2'402 fr. 20), les démarches à un stade encore très précoce entreprises en vue de suivre un traitement contre ses addictions et le défaut d'information sur la faisabilité de ce suivi à brève échéance. Le recourant ne développe aucune argumentation tendant à contester la réalité de ces éléments au moment où la cour cantonale a statué. En particulier, il ne prétend pas qu'à sa libération, il aurait pu bénéficier d'un cadre environnemental protégé (domicile, occupation, revenu, traitement), ce qui lui aurait peut-être permis de continuer le sevrage débuté - "malgré lui" - en prison. Vu l'importance du montant qui lui était nécessaire pour assurer sa consommation et celui cependant perçu à titre de prestations sociales, le recourant ne semblait dès lors pas à même de pouvoir assurer ses besoins - même dans l'hypothèse où ceux-ci auraient été réduits - en matière de stupéfiants. En l'absence de tout soutien - en particulier médical -, il existait donc un risque majeur qu'il puisse à nouveau se tourner vers des activités illicites, dont la vente de stupéfiants, pour y parvenir. Partant, la Chambre pénale de recours pouvait, sans violer le droit fédéral, retenir un pronostic défavorable et l'existence en conséquence d'un risque de réitération.</w:t>
      </w:r>
    </w:p>
    <w:p>
      <w:r>
        <w:rPr>
          <w:b/>
        </w:rPr>
        <w:t>E. 3.3</w:t>
      </w:r>
    </w:p>
    <w:p>
      <w:r>
        <w:t>Le recourant soutient que des mesures de substitution auraient été susceptibles de pallier ce danger ( art. 237 CPP ); tel aurait été en particulier le cas d'un traitement de sa consommation excessive de marijuana, mesure à laquelle aurait dû être conditionnée sa libération. La cour cantonale a cependant uniquement considéré qu'au moment où elle statuait, les démarches entreprises par le recourant ne permettaient pas de considérer que ce suivi - dans la mesure où le recourant aurait eu une réelle volonté de s'y soumettre - puisse être mis en place à brève échéance. Le recourant ne développe aucune argumentation recevable sur ce point et l'arrêt attaqué peut donc être confirmé sur cette question également.</w:t>
      </w:r>
    </w:p>
    <w:p>
      <w:r>
        <w:rPr>
          <w:b/>
        </w:rPr>
        <w:t>E. 4</w:t>
      </w:r>
    </w:p>
    <w:p>
      <w:r>
        <w:t>Il s'ensuit que le recours est rejeté dans la mesure de sa recevabilité. Le recourant a demandé l'octroi de l'assistance judiciaire et les conditions en paraissent réunies ( art. 64 al. 1 LTF ). Il y a lieu de désigner Me Gaétan Droz en qualité d'avocat d'office et de fixer ses honoraires, qui seront supportés par la caisse du Tribunal fédéral ( art. 64 al. 2 LTF ). Le recourant est en outre dispensé des frais judiciaires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