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1B_695/2021 vom 5. Januar 2022</w:t>
      </w:r>
    </w:p>
    <w:p>
      <w:r>
        <w:t>Bundesgericht, 2022-01-05, DE</w:t>
      </w:r>
    </w:p>
    <w:p>
      <w:r>
        <w:rPr>
          <w:b/>
        </w:rPr>
        <w:t xml:space="preserve">Quelle: </w:t>
      </w:r>
      <w:r>
        <w:t>https://mcp.opencaselaw.ch/entscheid/bger_1B_695_2021</w:t>
      </w:r>
    </w:p>
    <w:p>
      <w:r>
        <w:t>FR: TF 1B_695/2021 du 5 janvier 2022</w:t>
      </w:r>
    </w:p>
    <w:p>
      <w:r>
        <w:t>IT: TF 1B_695/2021 del 5 gennaio 2022</w:t>
      </w:r>
    </w:p>
    <w:p>
      <w:pPr>
        <w:pStyle w:val="Heading2"/>
      </w:pPr>
      <w:r>
        <w:t>Erwägungen</w:t>
      </w:r>
    </w:p>
    <w:p>
      <w:r>
        <w:rPr>
          <w:b/>
        </w:rPr>
        <w:t>E. 1</w:t>
      </w:r>
    </w:p>
    <w:p>
      <w:r>
        <w:t>A.________ erhob gegen die Einstellungsverfügung der Staatsanwaltschaft Limmattal/Albis vom 2. November 2021 Beschwerde. Die III. Strafkammer des Obergerichts des Kantons Zürich wies mit Verfügung vom 10. Dezember 2021 die Beschwerdeschrift zur Verbesserung an den Beschwerdeführer zurück und forderte ihn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22. Dezember 2021 führt A.________ Beschwerde in Strafsachen gegen die Verfügung der III. Strafkammer des Obergerichts des Kantons Zürich. Da die angefochtene Verfügung der Beschwerde nicht beilag, forderte das Bundesgericht A.________ mit Verfügung vom 24. Dezember 2021 auf, die fehlende Verfügung nachzureichen, ansonsten die Rechtsschrift unbeachtet bleibe ( Art. 42 Abs. 5 BGG ). Innert Frist kam A.________ dieser Aufforderung nach.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vermag mit seinen nicht sachbezogenen Ausführungen nicht aufzuzeigen, inwiefern die angefochtene Verfügung rechtswidrig sein soll. Sinngemäss beanstandet er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Er legt auch nicht verständlich dar, inwiefern die gesetzlich vorgesehene Sicherheitsleistung in rechtswidriger Weise erhoben worden wäre. Aus seinen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