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1B_689/2012 vom 20. Dezember 2012</w:t>
      </w:r>
    </w:p>
    <w:p>
      <w:r>
        <w:t>Bundesgericht, 2012-12-20, DE</w:t>
      </w:r>
    </w:p>
    <w:p>
      <w:r>
        <w:rPr>
          <w:b/>
        </w:rPr>
        <w:t xml:space="preserve">Quelle: </w:t>
      </w:r>
      <w:r>
        <w:t>https://mcp.opencaselaw.ch/entscheid/bger_1B_689_2012</w:t>
      </w:r>
    </w:p>
    <w:p>
      <w:r>
        <w:t>FR: TF 1B_689/2012 du 20 décembre 2012</w:t>
      </w:r>
    </w:p>
    <w:p>
      <w:r>
        <w:t>IT: TF 1B_689/2012 del 20 dicembre 2012</w:t>
      </w:r>
    </w:p>
    <w:p>
      <w:pPr>
        <w:pStyle w:val="Heading2"/>
      </w:pPr>
      <w:r>
        <w:t>Erwägungen</w:t>
      </w:r>
    </w:p>
    <w:p>
      <w:r>
        <w:rPr>
          <w:b/>
        </w:rPr>
        <w:t>E. 1</w:t>
      </w:r>
    </w:p>
    <w:p>
      <w:r>
        <w:t>Die Sachurteilsvoraussetzungen von Art. 78 ff. BGG geben zu keinen Vorbemerkungen Anlass. Die Bestimmung von Art. 92 BGG erlaubt die Anfechtung. Art. 98 BGG gelangt hier nicht zur Anwendung (vgl. BGE 137 IV 122 E. 2 S. 125, 340 E. 2.4 S. 346; Urteil des Bundesgerichtes 1B_277/2011 vom 28. Juni 2011 E. 1.2).</w:t>
      </w:r>
    </w:p>
    <w:p>
      <w:r>
        <w:rPr>
          <w:b/>
        </w:rPr>
        <w:t>E. 2</w:t>
      </w:r>
    </w:p>
    <w:p>
      <w:r>
        <w:t>Der Beschwerdeführer rügt eine unrichtige Feststellung des Sachverhalts, weil sich das Kantonsgericht unzutreffenderweise auf das seines Erachtens nicht einschlägige Bundesgerichtsurteil 1B_188/2012 vom 19. April 2012 gestützt habe. Die rechtliche Tragweite eines Urteils ist eine Rechtsfrage und betrifft keine Frage des Sachverhalts im Sinne von Art. 97 BGG . Auf die Rüge ist von vornherein nicht einzutreten.</w:t>
      </w:r>
    </w:p>
    <w:p>
      <w:r>
        <w:rPr>
          <w:b/>
        </w:rPr>
        <w:t>E. 3</w:t>
      </w:r>
    </w:p>
    <w:p>
      <w:r>
        <w:t>Das Kantonsgericht hat das Ausstandsersuchen des Beschwerdeführers als verspätet erachtet. Der Beschwerdeführer zieht diese Auffassung in Frage.</w:t>
      </w:r>
    </w:p>
    <w:p>
      <w:r>
        <w:t>Nach Art. 58 Abs. 1 StPO sind Ausstandsbegehren ohne Verzug zu stellen. Gleiche zeitliche Anforderungen stellt etwa Art. 36 Abs. 1 BGG . Ein unverzügliches Handeln wird auch in der Rechtsprechung zu Art. 30 bzw. Art. 29 BV gefordert ( BGE 132 II 485 E. 4.3 S. 496; 130 III 66 E. 4.3 S. 75 ; 124 I 121 E. 2 S. 122).</w:t>
      </w:r>
    </w:p>
    <w:p>
      <w:r>
        <w:t>Der Beschwerdeführer erhielt eine Kopie des Ersuchens um Verlängerung der Sicherheitshaft vom 25. September 2012 und hatte davon Kenntnis, dass die Hauptverhandlung auf den 21. November 2012 angesetzt war. Er stellte das Ausstandsgesuch auch nicht unmittelbar nach der Verlängerung der Sicherheitshaft vom 4. Oktober 2012. Vielmehr wartete er damit bis am 25. Oktober 2012 zu. Vor dem Hintergrund dieser zeitlichen Verhältnisse und in Anbetracht des Umstandes, dass der Beschwerdeführer in der Antragsstellung durch den Beschwerdegegner eine Frage von grundsätzlicher Bedeutung für die Strafprozessordnung und die Strafjustiz erblickt, kann sein Handeln vom 25. Oktober 2012 nicht als unverzüglich im Sinne von Art. 58 Abs. 1 StPO und der Verfassungsrechtsprechung bezeichnet werden. Damit hat er seinen Anspruch auf Ablehnung des Beschwerdegegners verwirkt.</w:t>
      </w:r>
    </w:p>
    <w:p>
      <w:r>
        <w:t>Die Beschwerde erweist sich in diesem Punkt als unbegründet.</w:t>
      </w:r>
    </w:p>
    <w:p>
      <w:r>
        <w:rPr>
          <w:b/>
        </w:rPr>
        <w:t>E. 4</w:t>
      </w:r>
    </w:p>
    <w:p>
      <w:r>
        <w:t>Ferner rügt der Beschwerdeführer Verletzungen von Art. 30 Abs. 1 BV und der Unschuldsvermutung gemäss Art. 6 Ziff. 2 EMRK . Er übersieht, dass die Anordnung von strafprozessualer Haft mit der Unschuldsvermutung vereinbar ist. Ferner hat das Bundesgericht im genannten Präjudiz 1B_188/2012 vom 19. April 2012 festgehalten, dass für den Antrag um Verlängerung der Sicherheitshaft die Verfahrensleitung zuständig ist und dass diese Ordnung vor der Verfassung standhalte. Anzufügen ist, dass es nach der Rechtsprechung mit Art. 30 Abs. 1 BV und Art. 6 Ziff. 1 EMRK vereinbar ist, wenn der Richter, der als Haftrichter tätig war, später in derselben Sache als Sachrichter mitwirkt ( BGE 117 Ia 182 ). Im Übrigen kann auf das genannte Präjudiz verwiesen werden, das in jeder Hinsicht einschlägig erscheint. Die Beschwerde erweist sich auch in diesem Punkt als unbegründet.</w:t>
      </w:r>
    </w:p>
    <w:p>
      <w:r>
        <w:rPr>
          <w:b/>
        </w:rPr>
        <w:t>E. 5</w:t>
      </w:r>
    </w:p>
    <w:p>
      <w:r>
        <w:t>Demnach ist die Beschwerde abzuweisen, soweit darauf eingetreten werden kann.</w:t>
      </w:r>
    </w:p>
    <w:p>
      <w:r>
        <w:t>Der Beschwerdeführer ersucht um Gewährung der unentgeltlichen Rechtspflege. Von seiner Bedürftigkeit darf in Anbetracht der Bewilligung der amtlichen Verteidigung im kantonalen Verfahren ausgegangen werden. Indes erweist sich die Beschwerde im Lichte der vorstehenden Erwägungen als von vornherein aussichtslos. Es fehlen die Voraussetzungen für die Gewährung der unentgeltlichen Rechtspflege. Das Ersuchen ist demnach abzuweisen. Es rechtfertigt sich indes,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