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684/2012 vom 24. Januar 2013</w:t>
      </w:r>
    </w:p>
    <w:p>
      <w:r>
        <w:t>Bundesgericht, 2013-01-24, FR</w:t>
      </w:r>
    </w:p>
    <w:p>
      <w:r>
        <w:rPr>
          <w:b/>
        </w:rPr>
        <w:t xml:space="preserve">Quelle: </w:t>
      </w:r>
      <w:r>
        <w:t>https://mcp.opencaselaw.ch/entscheid/bger_1B_684_2012</w:t>
      </w:r>
    </w:p>
    <w:p>
      <w:r>
        <w:t>FR: TF 1B 684/2012 du 24 janvier 2013</w:t>
      </w:r>
    </w:p>
    <w:p>
      <w:r>
        <w:t>IT: TF 1B 684/2012 del 24 gennaio 2013</w:t>
      </w:r>
    </w:p>
    <w:p>
      <w:pPr>
        <w:pStyle w:val="Heading2"/>
      </w:pPr>
      <w:r>
        <w:t>Regeste</w:t>
      </w:r>
    </w:p>
    <w:p>
      <w:r>
        <w:t>procédure pénale, levée d'un séquestre | Procédure pénale</w:t>
      </w:r>
    </w:p>
    <w:p>
      <w:pPr>
        <w:pStyle w:val="Heading2"/>
      </w:pPr>
      <w:r>
        <w:t>Erwägungen</w:t>
      </w:r>
    </w:p>
    <w:p>
      <w:r>
        <w:rPr>
          <w:b/>
        </w:rPr>
        <w:t>E. 1</w:t>
      </w:r>
    </w:p>
    <w:p>
      <w:r>
        <w:t>Le Tribunal fédéral examine d'office et librement sa compétence, ainsi que la recevabilité des recours qui lui sont soumis ( art. 29 al. 1 LTF ; ATF 138 IV 186 consid. 1 p. 188).</w:t>
      </w:r>
    </w:p>
    <w:p>
      <w:r>
        <w:rPr>
          <w:b/>
        </w:rPr>
        <w:t>E. 1.1</w:t>
      </w:r>
    </w:p>
    <w:p>
      <w:r>
        <w:t>Le recours en matière pénale, au sens de l' art. 78 al. 1 LTF , est ouvert contre une décision relative à un séquestre pénal, confirmée en dernière instance cantonale ( art. 80 LTF ).</w:t>
      </w:r>
    </w:p>
    <w:p>
      <w:r>
        <w:rPr>
          <w:b/>
        </w:rPr>
        <w:t>E. 1.2</w:t>
      </w:r>
    </w:p>
    <w:p>
      <w:r>
        <w:t>La décision relative au maintien ou à la levée d'un séquestre pénal constitue une décision incidente puisque, dans les deux cas, elle ne met pas fin à la procédure pénale ( ATF 128 I 129 consid. 1 p. 131; 126 I 97 consid. 1b p. 100 et les références). Le recours n'est dès lors recevable, selon l' art. 93 al. 1 let. a LTF , que si l'acte attaqué est susceptible de causer un préjudice irréparable. Il appartient au recourant d'indiquer en quoi la décision incidente est susceptible de lui causer un tel préjudice, à tout le moins lorsque cela n'est pas évident ( ATF 136 IV 92 consid. 4 p. 95). Selon la jurisprudence ( ATF 133 IV 139 consid. 4 p. 141 et les références), le séquestre de valeurs patrimoniales cause en principe un dommage irréparable, en raison de l'atteinte directe au droit de propriété. En revanche, la levée d'un séquestre n'est susceptible de causer un tel préjudice à la partie plaignante que pour autant que ses prétentions en restitution s'en trouvent ainsi compromises ( ATF 126 I 97 consid. 1b p. 101). En l'occurrence, la recourante estime que la levée du séquestre compromettrait la confiscation et l'allocation en sa faveur des diamants qu'elle considère comme étant le produit de l'infraction; elle précise que le prévenu est notoirement insolvable. Cela suffit pour admettre la possibilité d'un préjudice irréparable.</w:t>
      </w:r>
    </w:p>
    <w:p>
      <w:r>
        <w:rPr>
          <w:b/>
        </w:rPr>
        <w:t>E. 1.3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Selon l' art. 42 al. 1 LTF , il incombe notamment au recourant d'alléguer les faits qu'il considère comme propres à fonder sa qualité pour recourir (cf. ATF 133 Il 353 consid. 1 p. 356, 249 consid. 1.1 p. 251). Cette disposition s'applique également aux recours dirigés contre des décisions incidentes (ATF 1B_ 432/2011 consid. 2.1). Le recours est également recevable de ce point de vue, puisque la recourante entend faire valoir une créance en dommage-intérêt de 900'000 euros, résultant de la disparition de la montre. Il y a lieu, dès lors, d'entrer en matière.</w:t>
      </w:r>
    </w:p>
    <w:p>
      <w:r>
        <w:rPr>
          <w:b/>
        </w:rPr>
        <w:t>E. 1.4</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ne s'appliquent donc pas. Cela vaut également pour le séquestre d'objets ou de valeurs patrimoniales ( ATF 129 I 103 consid. 2 p. 105 ss).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La recourante se plaint d'une violation de l' art. 263 al. 1 let . d CPP. Selon elle, une possibilité de confiscation subsisterait: la valeur des diamants correspondrait à celle de la montre (valeur de consignation: 975'835 fr.; valeur plancher: 630'000 fr.). Les circonstances de la remise des diamants (deux personnes se connaissant à peine, dans un lieu public et sans formalités) seraient suspectes, de même que les conditions de leur détention (dans un coffre de voiture). Il serait improbable que le prévenu ait risqué de dérober la montre sans avoir reçu de contre-prestation. Le fait que les diamants ont été remis avant la disparition de la montre ne serait pas déterminant. On ignorerait encore les circonstances de leur remise, et la propriété de B.________ ne serait toujours pas démontrée.</w:t>
      </w:r>
    </w:p>
    <w:p>
      <w:r>
        <w:rPr>
          <w:b/>
        </w:rPr>
        <w:t>E. 2.1</w:t>
      </w:r>
    </w:p>
    <w:p>
      <w:r>
        <w:t>Le séquestre pénal contesté est fondé sur l' art. 263 CPP . Cette mesure conservatoire provisoire est destinée à préserver les objets ou valeurs que le juge du fond pourrait être amené à confisquer ou qui pourraient servir à l'exécution d'une créance compensatrice. Elle est proportionnée lorsqu'elle porte sur des avoirs dont on peut admettre qu'ils pourront être vraisemblablement confisqués en application du droit pénal.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(arrêt 1B_175/2012 du 5 septembre 2012 consid. 4.1; arrêt 1P.405/1993 du 8 novembre 1993 consid. 3 publié in SJ 1994 p. 97; cf. également LEMBO/JULEN BERTHOD, in Commentaire romand CPP, 2011, n. 27 ad art. 263 CPP ). Enfin, pour que le maintien du séquestre pendant une période prolongée se justifie, il importe que les présomptions se renforcent en cours d'enquête ( ATF 122 IV 91 consid. 4 p. 96; LEMBO/JULEN BERTHOD, op. cit., n. 26 ad art. 263 CPP ).</w:t>
      </w:r>
    </w:p>
    <w:p>
      <w:r>
        <w:rPr>
          <w:b/>
        </w:rPr>
        <w:t>E. 2.2</w:t>
      </w:r>
    </w:p>
    <w:p>
      <w:r>
        <w:t>Force est de constater en l'occurrence que les soupçons qui ont initialement conduit au séquestre des diamants (soit la succession et la proximité des évènements dans le temps, les montants comparables et les circonstances singulières de la remise des pierres) ne se sont nullement renforcés. Les documents comptables (attestation d'une fiduciaire indiquant que les diamants figuraient au stock de l'intimée en 2009-2010), des certificats et justificatifs d'achats ainsi que deux attestations et une expertise permettent d'admettre le droit de propriété de l'intimée sur les pierres. Par ailleurs, après deux ans d'enquête, aucun élément concret ne permet de remettre en cause les déclarations concordantes du prévenu et de l'intimée selon lesquels les diamants auraient été remis pour être vendus à un tiers. S'il existait des éléments sérieux permettant d'impliquer l'intimée dans la disparition de la montre ou de penser que la remise des diamants constitue une contrepartie, on ne comprend pas que l'intimée n'ait à ce jour nullement été inquiétée. Enfin, ni la recourante, ni le Ministère public n'expliquent quel acte d'instruction serait propre à éclaircir la situation, de manière à permettre une confiscation.</w:t>
      </w:r>
    </w:p>
    <w:p>
      <w:r>
        <w:rPr>
          <w:b/>
        </w:rPr>
        <w:t>E. 3</w:t>
      </w:r>
    </w:p>
    <w:p>
      <w:r>
        <w:t>Sur le vu de ce qui précède, le recours doit être rejeté. Conformément à l' art. 66 al. 1 LTF , les frais sont mis à la charge de la recourante, qui succombe. Selon l' art. 68 al. 2 LTF , la partie qui succombe est en outre tenue à des dépens en faveur de la partie qui obtient gain de cause. En l'occurrence, B.________ et C.________ obtiennent gain de cause, mais le second n'a déposé qu'une brève détermination, sans motivation et n'a dès lors droit qu'à des dépens réduits. Ces dépens sont mis à charge égale et solidaire de la recourante et de D.________ ( art. 66 al. 5 LTF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