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1B_684/2011 vom 21. Dezember 2011</w:t>
      </w:r>
    </w:p>
    <w:p>
      <w:r>
        <w:t>Bundesgericht, 2011-12-21, FR</w:t>
      </w:r>
    </w:p>
    <w:p>
      <w:r>
        <w:rPr>
          <w:b/>
        </w:rPr>
        <w:t xml:space="preserve">Quelle: </w:t>
      </w:r>
      <w:r>
        <w:t>https://mcp.opencaselaw.ch/entscheid/bger_1B_684_2011</w:t>
      </w:r>
    </w:p>
    <w:p>
      <w:r>
        <w:t>FR: TF 1B_684/2011 du 21 décembre 2011</w:t>
      </w:r>
    </w:p>
    <w:p>
      <w:r>
        <w:t>IT: TF 1B_684/2011 del 21 dicembre 2011</w:t>
      </w:r>
    </w:p>
    <w:p>
      <w:pPr>
        <w:pStyle w:val="Heading2"/>
      </w:pPr>
      <w:r>
        <w:t>Erwägungen</w:t>
      </w:r>
    </w:p>
    <w:p>
      <w:r>
        <w:rPr>
          <w:b/>
        </w:rPr>
        <w:t>E. 1</w:t>
      </w:r>
    </w:p>
    <w:p>
      <w:r>
        <w:t>Les recours visent des arrêts distincts rendus par la même autorité à l'encontre de deux co-accusés dans le cadre de la même procédure. Leurs auteurs n'ont pas d'intérêts contradictoires qui commanderaient un prononcé séparé. Dans ces circonstances, l'économie de la procédure justifie que les causes 1B_684/2011 et 1B_686/2011 soient jointes pour être traitées dans un seul et même arrêt.</w:t>
      </w:r>
    </w:p>
    <w:p>
      <w:r>
        <w:rPr>
          <w:b/>
        </w:rPr>
        <w:t>E. 2</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l'accusé a qualité pour agir. B.________, qui agit sans avocat, a déposé une écriture sommairement motivée, de laquelle il ressort à tout le moins qu'il conteste l'arrêt du 22 novembre 2011. Cette motivation peut être considérée comme suffisante dans la mesure où le sort de ce recours est étroitement lié à l'issue du recours déposé par A.________. Pour le surplus, les recours sont formés en temps utile ( art. 100 al. 1 LTF ) contre une décision rendue en dernière instance cantonale ( art. 80 LTF ) et les conclusions présentées sont recevables au regard de l' art. 107 al. 2 LTF .</w:t>
      </w:r>
    </w:p>
    <w:p>
      <w:r>
        <w:rPr>
          <w:b/>
        </w:rPr>
        <w:t>E. 3</w:t>
      </w:r>
    </w:p>
    <w:p>
      <w:r>
        <w:t>La recourante invoque une violation du principe de célérité.</w:t>
      </w:r>
    </w:p>
    <w:p>
      <w:r>
        <w:rPr>
          <w:b/>
        </w:rPr>
        <w:t>E. 3.1</w:t>
      </w:r>
    </w:p>
    <w:p>
      <w:r>
        <w:t>Concrétisant le principe de la célérité, l' 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 ATF 128 I 149 consid. 2.2.1 p. 151 s.;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 Après la clôture de l'instruction, le prévenu doit en principe être renvoyé devant le juge du fond dans un délai qui, pour être conforme aux exigences des art. 10 Cst. , 5 CPP et 5 par. 3 CEDH, ne devrait pas excéder quelques semaines, voire quelques mois (cf. arrêt 1B_419/2011 du 13 septembre 2011 consid. 2.1 pour les durées jugées conformes au principe de célérité).</w:t>
      </w:r>
    </w:p>
    <w:p>
      <w:r>
        <w:rPr>
          <w:b/>
        </w:rPr>
        <w:t>E. 3.2</w:t>
      </w:r>
    </w:p>
    <w:p>
      <w:r>
        <w:t>En l'espèce, la Cour de céans a déjà constaté que le délai de huit mois entre l'ordonnance de renvoi et l'audience de jugement initialement prévue le 21 novembre 2011 était clairement contraire au principe de la célérité (arrêt 1B_419/2011 précité). Il est donc évident que le report de l'audience de jugement du 12 au 16 mars 2012 aggrave encore cette violation.</w:t>
      </w:r>
    </w:p>
    <w:p>
      <w:r>
        <w:t>Pour justifier ce report, la Cour de justice se fonde sur le principe de l'unité de la procédure, garanti par l' art. 29 CPP . Elle estime que les recourants doivent être jugés en même temps que C.________, qui apparaîtrait à leurs côtés comme la principale commanditaire de la drogue en provenance d'Équateur. Les intéressés seraient donc susceptibles de faire établir le rôle de chacun d'eux et de leurs comparses, de sorte qu'il serait difficilement concevable, "dans l'optique d'une saine et économique administration de la justice, en particulier de la recherche de la vérité matérielle", de les juger séparément. La tenue de deux procès distincts impliquerait en outre l'audition dans chacun d'eux de tous les protagonistes, spécialement dans le cadre de confrontations. Selon l'instance précédente, la prolongation de la détention des recourants en raison du report d'audience constituerait un inconvénient que les participants à un trafic international de stupéfiants devraient supporter et qui ne constituerait pas une violation du principe de célérité.</w:t>
      </w:r>
    </w:p>
    <w:p>
      <w:r>
        <w:t>La Cour de justice perd de vue que la violation du principe de célérité a déjà été constatée par le Tribunal fédéral, de sorte qu'il n'y a plus de place pour des considérations sur "une saine et économique administration de la justice", encore moins si ces motifs conduisent à aggraver la violation du principe en question. S'il est vrai que l' art. 29 CPP consacre l'unité de la procédure, l' art. 30 CPP prévoit des exceptions à ce principe "si des raisons objectives le justifient". Or, une violation du principe de célérité constitue un motif objectif permettant de renoncer à juger conjointement plusieurs coauteurs. Comme exemples de cas d'application de l'exception de l' art. 30 CPP , la doctrine mentionne d'ailleurs l'arrestation d'un coauteur lorsque les autres participants sont en voie d'être jugés, les difficultés liées à un grand nombre de coauteurs dont certains seraient introuvables, ou encore la mise en oeuvre d'une longue procédure d'extradition (cf. BERNARD BERTOSSA, in Commentaire romand CPP, 2011, n. 4 ad art. 29; URS BARTETZKO, in Basler Kommentar StPO, 2011, n. 3 ad art. 30, THOMAS FINGERHUTH/ VIKTOR LIEBER, in Donatsch/Hansjakob/Lieber (éd.), Kommentar zur Schweizerischen Strafprozessordnung, 2010, n. 2 ad art. 30; NIKLAUS SCHMID, Schweizerische Strafprozessordnung Praxiskommentar, 2009, n. 2 ad art. 30). Il convient en outre de rappeler que l' art. 5 al. 2 CPP impose une diligence particulière lorsqu'un prévenu est placé en détention, ce qui est le cas des recourants, détenus respectivement depuis novembre 2009 et janvier 2010. Il se justifiait donc d'appliquer l' art. 30 CPP en l'espèce et de renoncer à joindre la cause de C.________ à celle des recourants ou d'ordonner la disjonction de ces causes. Une telle décision s'imposait en raison de la violation préexistante du principe de célérité, ce d'autant plus qu'il n'est pas certain que la cause de la prénommée soit effectivement prête à être jugée à l'audience prévue en mars 2012.</w:t>
      </w:r>
    </w:p>
    <w:p>
      <w:r>
        <w:rPr>
          <w:b/>
        </w:rPr>
        <w:t>E. 3.3</w:t>
      </w:r>
    </w:p>
    <w:p>
      <w:r>
        <w:t>Dans ces conditions, il y a lieu de constater une nouvelle violation du principe de célérité. Cette violation n'entraîne pas la libération immédiate des recourants, la détention demeurant fondée en tout cas sur un risque de fuite et la durée de la détention subie à ce jour apparaissant encore compatible avec le principe de la proportionnalité. Le juge du fond pourra tenir compte de la violation du principe de la célérité dans la fixation de la peine (cf. ATF 128 I 149 consid. 2.2 p. 151 s.; 124 I 139 consid. 2c p. 141). La violation du principe de célérité peut en outre être réparée - au moins partiellement - par la constatation de cette violation, une admission partielle du recours sur ce point et la mise à la charge de l'Etat des frais de justice (cf. ATF 137 IV 118 consid. 2.2 in fine p. 121 s. et les références citées).</w:t>
      </w:r>
    </w:p>
    <w:p>
      <w:r>
        <w:t>Cela étant, cette nouvelle violation du principe de célérité est de nature à éveiller des doutes sur la capacité des autorités cantonales à juger les recourants dans un délai acceptable. La question de la mise en liberté des intéressés pourrait donc se poser si leur jugement n'intervient pas à brève échéance. Pour éviter que la violation ne s'aggrave encore, il y a lieu d'ordonner au Tribunal criminel de prendre toutes les mesures utiles pour que l'audience de jugement se tienne avant le 15 février 2012.</w:t>
      </w:r>
    </w:p>
    <w:p>
      <w:r>
        <w:rPr>
          <w:b/>
        </w:rPr>
        <w:t>E. 4</w:t>
      </w:r>
    </w:p>
    <w:p>
      <w:r>
        <w:t>Les recours doivent par conséquent être admis partiellement et les dispositifs des arrêts attaqués modifiés en ce sens que la violation du principe de célérité est constatée, l'Etat de Genève supportant les frais judiciaires ainsi qu'une indemnité allouée à chacun des recourants à titre de dépens. Il convient également d'ordonner au Tribunal criminel de tenir l'audience de jugement avant le 15 février 2012. Les demandes de mise en liberté doivent en revanche être rejetées.</w:t>
      </w:r>
    </w:p>
    <w:p>
      <w:r>
        <w:t>La recourante, qui obtient largement gain de cause avec l'assistance d'un avocat, a droit à des dépens, à la charge de l'Etat de Genève, pour la présente procédure devant le Tribunal fédéral ( art. 68 al. 1 et 2 LTF ). Dans ces conditions, sa requête d'assistance judiciaire devient sans objet. En revanche, le recourant ne peut pas prétendre à des dépens pour la procédure de recours devant le Tribunal fédéral, dès lors qu'il n'était pas représenté par un avocat ( art. 68 al. 1 et 2 LTF ). Il n'y a pas lieu de percevoir des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