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67/2018 vom 6. Februar 2018</w:t>
      </w:r>
    </w:p>
    <w:p>
      <w:r>
        <w:t>Bundesgericht, 2018-02-06, FR</w:t>
      </w:r>
    </w:p>
    <w:p>
      <w:r>
        <w:rPr>
          <w:b/>
        </w:rPr>
        <w:t xml:space="preserve">Quelle: </w:t>
      </w:r>
      <w:r>
        <w:t>https://mcp.opencaselaw.ch/entscheid/bger_1B_67_2018</w:t>
      </w:r>
    </w:p>
    <w:p>
      <w:r>
        <w:t>FR: TF 1B 67/2018 du 6 février 2018</w:t>
      </w:r>
    </w:p>
    <w:p>
      <w:r>
        <w:t>IT: TF 1B 67/2018 del 6 febbraio 2018</w:t>
      </w:r>
    </w:p>
    <w:p>
      <w:pPr>
        <w:pStyle w:val="Heading2"/>
      </w:pPr>
      <w:r>
        <w:t>Regeste</w:t>
      </w:r>
    </w:p>
    <w:p>
      <w:r>
        <w:t>procédure pénale; refus de révoquer un défenseur d'office et de désigner un nouveau conseil | Procédure pénale</w:t>
      </w:r>
    </w:p>
    <w:p>
      <w:pPr>
        <w:pStyle w:val="Heading2"/>
      </w:pPr>
      <w:r>
        <w:t>Erwägungen</w:t>
      </w:r>
    </w:p>
    <w:p>
      <w:r>
        <w:rPr>
          <w:b/>
        </w:rPr>
        <w:t>E. 1</w:t>
      </w:r>
    </w:p>
    <w:p>
      <w:r>
        <w:t>Par jugement du 6 décembre 2013, le Tribunal criminel de la République et canton de Genève a acquitté A.________ du chef de séquestration aggravée. Il l'a reconnu coupable de tentative d'assassinat, de brigandages aggravés, d'utilisation frauduleuse d'un ordinateur, de vol, de dommages à la propriété, de dommages à la propriété de peu de gravité, de recel, de violences contre les autorités et les fonctionnaires et d'entrée et séjour illégaux. Il l'a condamné à une peine privative de liberté de 13 ans, sous déduction de 658 jours de détention avant jugement. Au terme d'un arrêt rendu en dernier lieu le 18 novembre 2015 sur appel du condamné, la Chambre pénale d'appel et de révision de la Cour de justice de la République et canton de Genève a annulé ce jugement en ce qu'il reconnaissait A.________ coupable de brigandages aggravés au sens de l' art. 140 ch. 1, 2 et 3 CP et le condamnait à une peine privative de liberté de 13 ans. Statuant à nouveau, elle l'a reconnu coupable de brigandage aggravé au sens de l' art. 140 ch. 4 CP en relation avec l'agression de B.________ et au sens de l' art. 140 ch. 3 CP par rapport à celle de C.________. Elle l'a condamné à une peine privative de liberté de 12 ans, sous déduction de 1370 jours de détention avant jugement. Statuant le 8 novembre 2017 sur recours de A.________, le Tribunal fédéral a annulé cet arrêt et renvoyé la cause à la Chambre pénale d'appel et de révision pour qu'elle statue à nouveau sur la qualification juridique des faits se rapportant à B.________ et sur la peine. Les nouveaux débats d'appel ont été fixés au 1 er mars 2017. Par courrier du 4 décembre 2017, A.________ a sollicité la désignation d'un nouveau défenseur d'office en remplacement de Me Romain Jordan en qui il déclarait ne plus avoir confiance au motif qu'il ne lui avait plus rendu visite depuis deux ans. La Présidente de la Chambre pénale d'appel et de révision a rejeté la requête au terme d'une ordonnance rendue le 2 janvier 2018 que A.________ a contestée par acte du 1 er février 2018 remis à la Chambre pénale d'appel et de révision et transmis au Tribunal fédéral le 5 février 2018. Il n'a pas été demandé de réponse au recours.</w:t>
      </w:r>
    </w:p>
    <w:p>
      <w:r>
        <w:rPr>
          <w:b/>
        </w:rPr>
        <w:t>E. 2</w:t>
      </w:r>
    </w:p>
    <w:p>
      <w:r>
        <w:t>La contestation portant sur la défense d'office en matière pénale, le recours au Tribunal fédéral est régi par les art. 78 ss de la loi sur le Tribunal fédéral (LTF; RS 173.110).</w:t>
      </w:r>
    </w:p>
    <w:p>
      <w:r>
        <w:rPr>
          <w:b/>
        </w:rPr>
        <w:t>E. 2.1</w:t>
      </w:r>
    </w:p>
    <w:p>
      <w:r>
        <w:t>L'ordonnance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 Il incombe au recourant de démontrer l'existence d'un tel préjudice lorsque celui-ci n'est pas d'emblée évident ( ATF 138 III 46 consid. 1.2 p. 47). Suivant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2.2</w:t>
      </w:r>
    </w:p>
    <w:p>
      <w:r>
        <w:t>En l'espèce, le recourant continue d'être assisté dans la procédure pénale par le défenseur qui lui a été désigné de sorte qu'il ne subit en principe pas de préjudice juridique irréparable. La Présidente de la Chambre pénale d'appel et de révision a considéré que la rupture du lien de confiance entre le recourant et son défenseur d'office actuel n'était de loin pas établie et que l'intéressé ne faisait valoir aucun grief précis à l'encontre de Me Romain Jordan, si ce n'est un nombre de visites jugé insuffisant, alors qu'il apparaissait que le recourant avait objectivement bénéficié d'une défense efficace, au vu notamment de l'arrêt du Tribunal fédéral du 8 novembre 2017. Elle relevait au surplus que le recourant exécutant sa peine de manière anticipée depuis plusieurs années, il était logique qu'il reçoive beaucoup moins de visites qu'une personne se trouvant en détention provisoire et que cela l'était d'autant plus lorsque la procédure ne connaît pas d'évolution comme ce fut le cas durant l'attente de la décision du Tribunal fédéral, le soutien psychologique d'un détenu ne relevant pas de la mission d'un défenseur d'office. Le recourant ne cherche pas à démontrer en quoi la motivation ainsi développée pour conclure que l'absence de visites de la part de son avocat d'office depuis son incarcération au sein de l'Etablissement fermé de La Brenaz ne permettait pas de retenir que la relation de confiance avec son avocat serait gravement perturbée pour des motifs objectifs, comme l'exige l' art. 134 al. 2 CPP , serait insoutenable ou d'une autre manière contraire au droit.</w:t>
      </w:r>
    </w:p>
    <w:p>
      <w:r>
        <w:rPr>
          <w:b/>
        </w:rPr>
        <w:t>E. 3</w:t>
      </w:r>
    </w:p>
    <w:p>
      <w:r>
        <w:t>Faute pour le recourant d'avoir démontré que la décision attaquée lui cause un préjudice juridique irréparable au sens de la jurisprudence susmentionnée, le recours doit être déclaré irrecevable selon la procédure simplifiée prévue par l' art. 108 al. 1 let. a et b LTF . Compte tenu des circonstances du cas d'espèce, il sera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