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1B_67/2016 vom 24. Februar 2016</w:t>
      </w:r>
    </w:p>
    <w:p>
      <w:r>
        <w:t>Bundesgericht, 2016-02-24, DE</w:t>
      </w:r>
    </w:p>
    <w:p>
      <w:r>
        <w:rPr>
          <w:b/>
        </w:rPr>
        <w:t xml:space="preserve">Quelle: </w:t>
      </w:r>
      <w:r>
        <w:t>https://mcp.opencaselaw.ch/entscheid/bger_1B_67_2016</w:t>
      </w:r>
    </w:p>
    <w:p>
      <w:r>
        <w:t>FR: TF 1B_67/2016 du 24 février 2016</w:t>
      </w:r>
    </w:p>
    <w:p>
      <w:r>
        <w:t>IT: TF 1B_67/2016 del 24 febbraio 2016</w:t>
      </w:r>
    </w:p>
    <w:p>
      <w:pPr>
        <w:pStyle w:val="Heading2"/>
      </w:pPr>
      <w:r>
        <w:t>Erwägungen</w:t>
      </w:r>
    </w:p>
    <w:p>
      <w:r>
        <w:rPr>
          <w:b/>
        </w:rPr>
        <w:t>E. 1</w:t>
      </w:r>
    </w:p>
    <w:p>
      <w:r>
        <w:t>Mit Urteil vom 26. Januar 2016 des Bezirksgerichts Dietikon wurde A.________ unter anderem der mehrfachen versuchten Nötigung und der mehrfachen Drohung schuldig gesprochen und zu zwölf Monaten Freiheitsstrafe (unter der Anrechnung von erstandener Haft sowie vorzeitigem Straf- und Massnahmenvollzug) und einer Busse von Fr. 300.-- verurteilt. Ausserdem wurde eine stationäre Massnahme im Sinne von Art. 59 StGB angeordnet. Gegen dieses Urteil meldete der amtliche Verteidiger von A.________ Berufung an.</w:t>
      </w:r>
    </w:p>
    <w:p>
      <w:r>
        <w:rPr>
          <w:b/>
        </w:rPr>
        <w:t>E. 2</w:t>
      </w:r>
    </w:p>
    <w:p>
      <w:r>
        <w:t>Das Bezirksgericht Dietikon ordnete mit Beschluss vom 26. Januar 2016 die Fortdauer der Sicherheitshaft bis zum Massnahmenantritt, längstens bis 26. April 2016 an. Dagegen erhob A.________ persönlich mit Schreiben vom 1. Februar 2016 Beschwerde. Der amtliche Verteidiger verzichtete auf eine Stellungnahme. Die III. Strafkammer des Obergerichts des Kantons Zürich wies mit Beschluss vom 8. Februar 2016 die Beschwerde ab. Die Strafkammer bejahte den dringenden Tatverdacht und das Bestehen von Fluchtgefahr. Ausserdem erachtete die Strafkammer die Weiterführung der Haft als verhältnismässig, obschon A.________ die erstinstanzlich ausgefällte Strafe durch Untersuchungs- und Sicherheitshaft sowie durch vorzeitigen Sanktionsvollzug erstanden habe. Es sei davon auszugehen, dass sich A.________ noch längere Zeit im stationären Massnahmenvollzug befinden werde.</w:t>
      </w:r>
    </w:p>
    <w:p>
      <w:r>
        <w:rPr>
          <w:b/>
        </w:rPr>
        <w:t>E. 3</w:t>
      </w:r>
    </w:p>
    <w:p>
      <w:r>
        <w:t>A.________ führt mit Eingabe vom 18. Februar 2016 Beschwerde in Strafsachen gegen den Beschluss der III. Strafkammer des Obergerichts des Kantons Zürich vom 8. Februar 2016.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III. Strafkammer des Obergerichts des Kantons Zürich, die zur Abweisung der Beschwerde führte, nicht auseinander. Mit seinen Ausführungen vermag der Beschwerdeführer nicht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