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676/2012 vom 27. November 2012</w:t>
      </w:r>
    </w:p>
    <w:p>
      <w:r>
        <w:t>Bundesgericht, 2012-11-27, FR</w:t>
      </w:r>
    </w:p>
    <w:p>
      <w:r>
        <w:rPr>
          <w:b/>
        </w:rPr>
        <w:t xml:space="preserve">Quelle: </w:t>
      </w:r>
      <w:r>
        <w:t>https://mcp.opencaselaw.ch/entscheid/bger_1B_676_2012</w:t>
      </w:r>
    </w:p>
    <w:p>
      <w:r>
        <w:t>FR: TF 1B 676/2012 du 27 novembre 2012</w:t>
      </w:r>
    </w:p>
    <w:p>
      <w:r>
        <w:t>IT: TF 1B 676/2012 del 27 novembre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Selon l'art. 81 al. 1 let. a et let. b ch. 1 LTF, le prévenu a qualité pour agir. Le recours est formé en temps utile ( art. 100 al. 1 LTF ) contre une décision rendue en dernière instance cantonale ( art. 80 LTF ).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se plaint d'une violation de l' art. 221 CPP . Il reproche à la cour cantonale d'avoir retenu un risque de réitération en se limitant à des considérations générales, sans examiner sérieusement les arguments soulevés par le recourant et les mesures de substitution proposées. La cour cantonale se serait référée à des décisions précédentes, alors qu'il est apparu depuis lors que les gains réalisés par le recourant n'ont pas dépassé 15'000 euros. Dans un grief distinct, qui doit être traité simultanément, le recourant reproche à la cour cantonale d'avoir méconnu que le risque de récidive nécessite, pour être retenu, l'existence d'indices concrets. L'infraction de blanchiment nécessiterait une structure spécifique permettant l'écoulement des devises. Or, le recourant, licencié en février 2012, ne dispose plus d'une telle structure. Après sa première condamnation, il aurait accepté sa faute et n'aurait pas réitéré durant quatre ans et demi. Le recourant relève aussi qu'il a produit un contrat de travail en tant que réceptionniste dans un garage. Sa situation familiale ne justifierait pas non plus le pronostic négatif posé par la cour cantonale.</w:t>
      </w:r>
    </w:p>
    <w:p>
      <w:r>
        <w:rPr>
          <w:b/>
        </w:rPr>
        <w:t>E. 3.1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Dans son arrêt du 8 août 2012, la Cour de céans a confirmé l'existence d'un risque de récidive, retenant que les faits étaient graves. Le recourant, condamné au mois de juillet 2007 pour blanchiment d'argent, avait repris ses agissement, de même nature mais de plus grande ampleur, certes quatre ans et demi après sa condamnation, mais seulement quatre mois après l'échéance du sursis qui lui avait été accordé. La situation familiale a également été prise en compte, de même que le fait que le recourant ne travaille plus dans un bureau de change. Le recourant ne dispose certes plus des facilités liées à son activité dans un tel bureau, mais il pourrait toujours profiter de ses relations et du réseau constitué dans le cadre de son activité pour se livrer à de nouveaux actes de blanchiment. Du point de vue du risque de récidive, la situation n'a guère évolué depuis les précédentes décisions, notamment l'arrêt du Tribunal fédéral du 8 août 2012, de sorte que le risque de récidive ne peut qu'être confirmé.</w:t>
      </w:r>
    </w:p>
    <w:p>
      <w:r>
        <w:rPr>
          <w:b/>
        </w:rPr>
        <w:t>E. 3.3</w:t>
      </w:r>
    </w:p>
    <w:p>
      <w:r>
        <w:t>Le recourant invoque également en vain l' art. 237 CPP , qui impose l'adoption de mesures de substitution à la détention provisoire. En effet, dès lors qu'une activité de blanchiment pourrait avoir lieu parallèlement à une activité professionnelle sans liens avec le milieu de la finance, le contrat d'engagement produit par le recourant (en tant que réceptionniste dans un garage) n'offre aucune garantie suffisante.</w:t>
      </w:r>
    </w:p>
    <w:p>
      <w:r>
        <w:rPr>
          <w:b/>
        </w:rPr>
        <w:t>E. 4</w:t>
      </w:r>
    </w:p>
    <w:p>
      <w:r>
        <w:t>Invoquant enfin les art. 5 par. 3 CEDH et 36 al. 3 Cst., le recourant estime que la prolongation de sa détention violerait le principe de la proportionnalité. Il reproche à la cour cantonale d'avoir évalué la peine envisageable sans tenir compte des gains effectivement réalisés, lesquels ne dépasseraient pas 15'000 euros.</w:t>
      </w:r>
    </w:p>
    <w:p>
      <w:r>
        <w:rPr>
          <w:b/>
        </w:rPr>
        <w:t>E. 4.1</w:t>
      </w:r>
    </w:p>
    <w:p>
      <w:r>
        <w:t>En vertu des art. 31 al. 3 Cst. et 5 par. 3 CEDH, toute personne qui est mise en détention provisoire a le droit d'être jugée dans un délai raisonnable ou d'être libérée pendant la procédure pénale. Une durée excessive de la détention constitue une limitation disproportionnée de ce droit fondamental, notamment lorsqu'elle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 ATF 133 I 168 consid. 4.1 p. 170; 132 I 21 consid. 4.1 p. 27; 107 Ia 256 consid. 2 et 3 p. 257 ss et les références).</w:t>
      </w:r>
    </w:p>
    <w:p>
      <w:r>
        <w:rPr>
          <w:b/>
        </w:rPr>
        <w:t>E. 4.2</w:t>
      </w:r>
    </w:p>
    <w:p>
      <w:r>
        <w:t>Contrairement à ce que soutient le recourant, le bénéfice retiré des opérations de blanchiment n'est pas le seul critère pour retenir l'existence d'un cas grave au sens de l' art. 305bis al. 2 CP , impliquant une peine privative de liberté de cinq ans au plus. En effet, cette disposition vise également les membres d'une organisation criminelle (let. a), la participation à une bande formée pour se livrer systématiquement au blanchiment d'argent (let. b), ainsi que le chiffre d'affaires important (let. c). Compte tenu des montants en jeu (soit plus d'un million d'euros recyclés, abstraction faite des mises en prévention complémentaires prononcées par le Ministère public après l'arrêt attaqué), l'application des dispositions relatives au cas grave n'apparaît pas exclue dans le cas particulier (cf. ATF 129 IV 188 consid. 2.2 et 3.1 fixant des limites minimum de 100'000 fr. pour le chiffre d'affaires et de 10'000 fr. pour le gain). Cela implique la possibilité d'une condamnation à une peine de privation de liberté plus longue que les quelque dix mois de détention provisoire que le recourant aura subis à l'échéance de la prolongation en cours. Au surplus, le Procureur a annoncé un avis de prochaine clôture pour le 30 novembre 2012, ce qui devrait permettre un renvoi en jugement dans un délai raisonnable. Il n'y a pas, par conséquent, de violation du principe de la proportionnalité.</w:t>
      </w:r>
    </w:p>
    <w:p>
      <w:r>
        <w:rPr>
          <w:b/>
        </w:rPr>
        <w:t>E. 5</w:t>
      </w:r>
    </w:p>
    <w:p>
      <w:r>
        <w:t>Sur le vu de ce qui précède, le recours doit être rejeté. Le recourant a demandé l'assistance judiciaire et les conditions en paraissent réunies. Me Reza Vafadar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