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1B_667/2021 vom 19. April 2022</w:t>
      </w:r>
    </w:p>
    <w:p>
      <w:r>
        <w:t>Bundesgericht, 2022-04-19, FR</w:t>
      </w:r>
    </w:p>
    <w:p>
      <w:r>
        <w:rPr>
          <w:b/>
        </w:rPr>
        <w:t xml:space="preserve">Quelle: </w:t>
      </w:r>
      <w:r>
        <w:t>https://mcp.opencaselaw.ch/entscheid/bger_1B_667_2021</w:t>
      </w:r>
    </w:p>
    <w:p>
      <w:r>
        <w:t>FR: TF 1B_667/2021 du 19 avril 2022</w:t>
      </w:r>
    </w:p>
    <w:p>
      <w:r>
        <w:t>IT: TF 1B_667/2021 del 19 aprile 2022</w:t>
      </w:r>
    </w:p>
    <w:p>
      <w:pPr>
        <w:pStyle w:val="Heading2"/>
      </w:pPr>
      <w:r>
        <w:t>Erwägungen</w:t>
      </w:r>
    </w:p>
    <w:p>
      <w:r>
        <w:rPr>
          <w:b/>
        </w:rPr>
        <w:t>E. 1</w:t>
      </w:r>
    </w:p>
    <w:p>
      <w:r>
        <w:t>S'agissant de la recevabilité, la propriété des objets sous séquestre ne semble pas établie et le jugement du tribunal de première instance les attribuant au recourant jusqu'à droit connu n'est pas entré en force. Il n'est ainsi pas d'entrée de cause évident que le recourant en serait le détenteur (cf. art. 81 al. 1 LTF ), respectivement se verrait donc priver de la libre disposition de ceux-ci (cf. art. 93 al. 1 let. a LTF ). Vu l'issue du litige, ces questions de recevabilité peuvent toutefois rester indécises.</w:t>
      </w:r>
    </w:p>
    <w:p>
      <w:r>
        <w:t>Eu égard aux conclusions prises devant le Tribunal fédéral, le présent litige ne porte plus sur le carton et les sept classeurs dont la restitution en faveur du recourant a été ordonnée au chiffre 7 du dispositif du jugement du tribunal de première instance et le séquestre les concernant est donc maintenu. Seul est encore litigieux le séquestre portant sur les objets visés au chiffre 6 du dispositif du jugement précité.</w:t>
      </w:r>
    </w:p>
    <w:p>
      <w:r>
        <w:rPr>
          <w:b/>
        </w:rPr>
        <w:t>E. 2</w:t>
      </w:r>
    </w:p>
    <w:p>
      <w:r>
        <w:t>Le recourant reproche à l'autorité précédente une violation du principe de proportionnalité eu égard à la durée des séquestres, lesquels ont été ordonnés le 23 février 2017. Selon le recourant, la procédure pénale serait loin d'être terminée, puisque l'intimée a fait appel du jugement de première instance du 26 avril 2021.</w:t>
      </w:r>
    </w:p>
    <w:p>
      <w:r>
        <w:rPr>
          <w:b/>
        </w:rPr>
        <w:t>E. 2.1</w:t>
      </w:r>
    </w:p>
    <w:p>
      <w:r>
        <w:t>Selon l' art. 264 al. 1 CPP ,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et/ou qu'ils devront être confisqués (let. d).</w:t>
      </w:r>
    </w:p>
    <w:p>
      <w:r>
        <w:t>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arrêt 1B_481/2021 du 4 novembre 2021 consid. 2.2).</w:t>
      </w:r>
    </w:p>
    <w:p>
      <w:r>
        <w:t>Un séquestre peut apparaître disproportionné lorsque la procédure dans laquelle il s'inscrit s'éternise sans motifs suffisants ( ATF 132 I 229 consid. 11.6 p. 247). Tant que l'instruction n'est pas achevée et que subsiste une probabilité de confiscation, de créance compensatrice ou d'une allocation au lésé, la mesure conservatoire doit être maintenue ( ATF 141 IV 360 consid. 3.2 p. 364; arrêt 1B_481/2021 du 4 novembre 2021 consid. 2.2).</w:t>
      </w:r>
    </w:p>
    <w:p>
      <w:r>
        <w:rPr>
          <w:b/>
        </w:rPr>
        <w:t>E. 2.2</w:t>
      </w:r>
    </w:p>
    <w:p>
      <w:r>
        <w:t>A teneur de l' art. 267 CPP , si le motif du séquestre disparaît, le ministère public ou le tribunal lève la mesure et restitue les objets et valeurs patrimoniales à l'ayant droit (al. 1); s'il est incontesté que des objets ou des valeurs patrimoniales ont été directement soustraits à une personne déterminée du fait de l'infraction, l'autorité pénale les restitue à l'ayant droit avant la clôture de la procédure (al. 2); la restitution à l'ayant droit des objets et des valeurs patrimoniales séquestrés qui n'ont pas été libérés auparavant, leur utilisation pour couvrir les frais ou leur confiscation sont statuées dans la décision finale (al. 3);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si l'ayant droit n'est pas connu lorsque le séquestre est levé, le ministère public ou le tribunal publie la liste des objets et valeurs patrimoniales séquestrés pour que les personnes concernées puissent faire valoir leurs droits et si dans les cinq ans qui suivent la publication, personne ne fait valoir de droits sur les objets et valeurs patrimoniales séquestrés, ceux-ci sont acquis au canton ou à la Confédération (al. 6).</w:t>
      </w:r>
    </w:p>
    <w:p>
      <w:r>
        <w:t>La possibilité de statuer sur l'attribution des objets ou des valeurs patrimoniales à libérer, conférée au tribunal par l' art. 267 al. 4 CPP , n'entre en considération que lorsque la situation juridique est claire. Si tel n'est pas le cas et que plusieurs personnes font valoir des prétentions sur les objets/valeurs séquestrés, la procédure prévue à l' art. 267 al. 5 CPP est applicable ( ATF 145 IV 80 consid. 2.3 in fine p. 89; arrêt 1B_573/2021 du 18 janvier 2022 consid. 3.1 et les arrêts cités). Lorsque la restitution des objets/valeurs séquestrés est ordonnée par le tribunal de première instance dans le cadre de la décision au fond, celle-ci peut faire l'objet d'un appel aux conditions des art. 398 ss CPP (LEMBO/NERUSHAY, in Commentaire romand, Code de procédure pénale suisse, 2e éd. 2019, n° 13c ad art. 267 CPP ).</w:t>
      </w:r>
    </w:p>
    <w:p>
      <w:r>
        <w:rPr>
          <w:b/>
        </w:rPr>
        <w:t>E. 2.3</w:t>
      </w:r>
    </w:p>
    <w:p>
      <w:r>
        <w:t>En l'occurrence, les séquestres litigieux ont été ordonnés il y a près de cinq ans. Le recourant ne remet cependant pas en cause les explications données par l'autorité précédente quant à la durée de la procédure pénale. La Juge unique a ainsi relevé que, dans un arrêt du 24 juillet 2019 - prononcé qui n'avait pas été contesté -, le Tribunal cantonal valaisan n'avait pas estimé choquant les temps morts connus durant l'instruction; la procédure de première instance avait en outre été menée avec toute la célérité possible compte tenu des circonstances (soit notamment le changement d'avocate de l'intimée et ses problèmes de santé). Quant à la prétendue longueur de la procédure d'appel en cours, respectivement de celle qui pourrait suivre auprès du Tribunal fédéral, il s'agit en l'état de pures spéculations, lesquelles ne sauraient donc suffire à ce stade pour retenir une violation du principe de proportionnalité. Il ne peut pas non plus être reproché aux autorités pénales la durée de la procédure de divorce, cadre dans lequel il ne semble au demeurant pas que la propriété des éléments séquestrés au cours de la procédure pénale ait été établie, notamment en faveur du recourant (cf., dans la mesure de leur recevabilité, les décisions civiles citées par le recourant qui paraissent tendre avant tout à interdire à l'intimée d'emporter des biens). Le recourant ne soutient pas non plus qu'un tel droit lui aurait été reconnu dans le cadre de la procédure pénale; le tribunal de première instance a au contraire fait application de la procédure prévue à l' art. 267 al. 5 CPP , soit celle qui s'impose quand de mêmes objets sont revendiqués par des parties différentes. Cette décision - attribuant certes de manière provisoire les objets litigieux au recourant - ne permet toutefois pas la levée du séquestre à ce stade de la procédure. En effet, l'intimée conteste cette attribution dans le cadre de son appel et, dès lors, ce point n'est pas entré en force (cf. art. 402 CPP ). Il est ainsi prématuré d'y donner suite et il appartiendra au juge du fond de se prononcer. Cela vaut d'autant plus qu'au regard de la nature des biens séquestrés (cf. notamment les sculptures), on ne se trouve pas dans la situation où cette mesure porterait sur des biens de première nécessité dont l'usage pourrait être indispensable au quotidien du recourant; il ne le prétend à juste titre pas.</w:t>
      </w:r>
    </w:p>
    <w:p>
      <w:r>
        <w:t>Le recourant ne développe enfin aucune argumentation permettant de remettre en cause les autres conditions justifiant le maintien du séquestre, telles que retenues par l'autorité précédente : soit l'existence de soupçons suffisants de la commission d'une infraction par l'intimée; l'éventuelle réalisation de celle-ci par le biais des objets litigieux, lesquels peuvent donc toujours servir de moyens de preuve; le défaut d'appropriation de la chose d'autrui soulevé par l'intimée dans le cadre de son appel; l'absence d'autre mesure moins incisive propre à atteindre le but probatoire - respectivement conservatoire - de celle ordonnée, le recourant relevant en outre que seul un juge civil pourrait lui imposer une interdiction de disposer; et l'intérêt public prépondérant à la recherche de la vérité par rapport à celui du recourant à pouvoir disposer immédiatement de ces objet.</w:t>
      </w:r>
    </w:p>
    <w:p>
      <w:r>
        <w:t>Partant, la Juge unique n'a pas violé le droit fédéral en rejetant la demande de levée du séquestre et ce grief peut être écarté.</w:t>
      </w:r>
    </w:p>
    <w:p>
      <w:r>
        <w:rPr>
          <w:b/>
        </w:rPr>
        <w:t>E. 3</w:t>
      </w:r>
    </w:p>
    <w:p>
      <w:r>
        <w:t>Il s'ensuit que le recours est rejeté dans la mesure où il est recevable.</w:t>
      </w:r>
    </w:p>
    <w:p>
      <w:r>
        <w:t>Le recourant, qui succombe, supporte les frais judiciaires ( art. 66 al. 1 LTF ). L'intimée, qui obtient gain de cause avec l'assistance d'un avocat, a droit à des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