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1B_65/2012 vom 15. Februar 2012</w:t>
      </w:r>
    </w:p>
    <w:p>
      <w:r>
        <w:t>Bundesgericht, 2012-02-15, FR</w:t>
      </w:r>
    </w:p>
    <w:p>
      <w:r>
        <w:rPr>
          <w:b/>
        </w:rPr>
        <w:t xml:space="preserve">Quelle: </w:t>
      </w:r>
      <w:r>
        <w:t>https://mcp.opencaselaw.ch/entscheid/bger_1B_65_2012</w:t>
      </w:r>
    </w:p>
    <w:p>
      <w:r>
        <w:t>FR: TF 1B_65/2012 du 15 février 2012</w:t>
      </w:r>
    </w:p>
    <w:p>
      <w:r>
        <w:t>IT: TF 1B_65/2012 del 15 febbraio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Il ressort de l'écriture de recours que le caractère suffisant des charges est contesté.</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Le Tribunal cantonal a constaté qu'il existait de sérieux soupçons de culpabilité à l'égard du recourant. Celui-ci était en effet clairement mis en cause par B.________, dont l'implication dans un vaste trafic de stupéfiants n'était "plus douteuse". Ce prévenu avait en effet déclaré s'être rendu avec le recourant à Paris et en avoir ramené quelque 4,5 kg de cannabis. Il affirmait en outre lui avoir remis 1 kg de marijuana à une autre occasion. Il ressortait par ailleurs d'écoutes téléphoniques que les intéressés étaient fréquemment en contact et que les propos échangés étaient surtout propres aux trafiquants de stupéfiants, puisqu'il était question de "grammes", de "kilos", de "marchandise", de "bénéfice" et surtout de "blanche".</w:t>
      </w:r>
    </w:p>
    <w:p>
      <w:r>
        <w:t>Le recourant ne remet pas en cause cette appréciation de manière convaincante. Il se borne en effet à alléguer que B.________ n'avait pas prévu de lui confier un rôle de transporteur et que les soupçons qui pèsent sur lui ne seraient que le fruit de l'imagination des enquêteurs. Il n'en demeure pas moins qu'il existe des raisons plausibles de soupçonner le recourant d'être impliqué dans un trafic de stupéfiants. Il est en effet établi qu'il fréquentait B.________ - qui a reconnu être impliqué dans un tel trafic - et qu'il s'est rendu avec lui à l'étranger, notamment à Paris. Or, B.________ a admis que ce voyage était lié à un trafic de stupéfiants, en ajoutant par la suite que le recourant l'avait également accompagné à Karlsruhe dans des circonstances similaires. Les intéressés ont en outre eu de fréquentes conversations téléphoniques, au cours desquelles ils utilisaient les termes susmentionnés, qui sont pour le moins équivoques. A ce stade de l'enquête, ces éléments suffisent à fonder des indices sérieux de l'implication du recourant, les charges étant amenées à se préciser au fil des auditions des prévenus et de leur confrontation aux propos enregistrés par les enquêteurs. Les charges sont en définitive suffisantes, de sorte que ce grief doit être rejeté.</w:t>
      </w:r>
    </w:p>
    <w:p>
      <w:r>
        <w:rPr>
          <w:b/>
        </w:rPr>
        <w:t>E. 4</w:t>
      </w:r>
    </w:p>
    <w:p>
      <w:r>
        <w:t>Le recourant affirme par ailleurs qu'il n'existe aucun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132 I 21 consid. 3.2 p. 23; 128 I 149 consid. 2.1 p. 151; 123 I 31 consid. 3c p. 35; 117 Ia 257 consid. 4b-c p. 260 s. et les références).</w:t>
      </w:r>
    </w:p>
    <w:p>
      <w:r>
        <w:rPr>
          <w:b/>
        </w:rPr>
        <w:t>E. 4.2</w:t>
      </w:r>
    </w:p>
    <w:p>
      <w:r>
        <w:t>En l'occurrence, la Cour cantonale relève que le recourant pourrait tenter d'influencer des témoignages, notamment celui du tiers qui a remis la drogue à B.________ lors de leur déplacement à Paris. Les circonstances de cette rencontre demeurant très douteuses, il y a lieu de craindre que le recourant ne tente de contacter cet individu ou de faire disparaître ou altérer des preuves, de sorte qu'il se justifie de le maintenir en détention au moins jusqu'à ce que la demande d'entraide judiciaire soit exécutée par les autorités françaises. Une interdiction de contacter l'individu en question serait en outre manifestement insuffisante, si bien que le maintien en détention provisoire respecte le principe de la proportionnalité.</w:t>
      </w:r>
    </w:p>
    <w:p>
      <w:r>
        <w:t>Le recourant se borne à affirmer que le risque de collusion n'existe que "dans l'imaginaire de l'ordonnance" et qu'il "ne connaît pas les personnes que l'on voudrait qu'il eût connu", sans aucunement démontrer en quoi la décision querellée serait contraire à la jurisprudence susmentionnée. Quoi qu'il en soit, l'appréciation du Tribunal cantonal peut être confirmée, ne serait-ce que parce que le recourant admet s'être rendu à Paris avec B.________ lorsque celui-ci a procédé à la transaction litigieuse. De plus, compte tenu du nombre de personnes impliquées dans le trafic qui fait l'objet de la présente procédure et des investigations qui restent à mener dans le cadre de cette instruction, que les autorités compétentes conduisent au demeurant sans désemparer, il convient effectivement d'éviter que le recourant ne tente d'influencer des déclarations ou qu'il fasse disparaître des preuves. Le maintien en détention provisoire de l'intéressé est donc justifié par un risque concret de collusion.</w:t>
      </w:r>
    </w:p>
    <w:p>
      <w:r>
        <w:rPr>
          <w:b/>
        </w:rPr>
        <w:t>E. 5</w:t>
      </w:r>
    </w:p>
    <w:p>
      <w:r>
        <w:t>Il s'ensuit que le recours doit être rejeté. La requête d'assistance judiciaire doit également être rejetée, le recourant n'ayant aucunement établi qu'il ne disposait pas de ressources suffisantes ( art. 64 al. 1 LTF ). Une telle démonstration s'imposait d'autant plus que le recourant ne bénéficie pas de l'assistance judiciaire dans la procédure cantonale. Le Ministère public l'avait en outre expressément rendu attentif au fait que la décision de mandater un défenseur de choix à la place du défenseur d'office désigné impliquait que les frais de défense seraient à sa charge ou à celle de ses proches, et il en avait déduit que l'intéressé disposait des moyens nécessaires pour assurer sa défense. Or, le recourant ne démontre pas le contraire dans le cadre de la présente procédure. Par ailleurs, l'intéressé allègue dans son recours qu'il a développé une entreprise de menuiserie à laquelle de nombreux clients feraient confiance, ce qui ne va pas dans le sens de la démonstration d'une prétendue indigence. Le recourant, qui succombe, doit dès lors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