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1B_658/2021 vom 26. Januar 2022</w:t>
      </w:r>
    </w:p>
    <w:p>
      <w:r>
        <w:t>Bundesgericht, 2022-01-26, DE</w:t>
      </w:r>
    </w:p>
    <w:p>
      <w:r>
        <w:rPr>
          <w:b/>
        </w:rPr>
        <w:t xml:space="preserve">Quelle: </w:t>
      </w:r>
      <w:r>
        <w:t>https://mcp.opencaselaw.ch/entscheid/bger_1B_658_2021</w:t>
      </w:r>
    </w:p>
    <w:p>
      <w:r>
        <w:t>FR: TF 1B_658/2021 du 26 janvier 2022</w:t>
      </w:r>
    </w:p>
    <w:p>
      <w:r>
        <w:t>IT: TF 1B_658/2021 del 26 gennaio 2022</w:t>
      </w:r>
    </w:p>
    <w:p>
      <w:pPr>
        <w:pStyle w:val="Heading2"/>
      </w:pPr>
      <w:r>
        <w:t>Erwägungen</w:t>
      </w:r>
    </w:p>
    <w:p>
      <w:r>
        <w:rPr>
          <w:b/>
        </w:rPr>
        <w:t>E. 1</w:t>
      </w:r>
    </w:p>
    <w:p>
      <w:r>
        <w:t>Die Verfahren stehen in engem Zusammenhang und sind daher zu vereinigen.</w:t>
      </w:r>
    </w:p>
    <w:p>
      <w:r>
        <w:rPr>
          <w:b/>
        </w:rPr>
        <w:t>E. 2</w:t>
      </w:r>
    </w:p>
    <w:p>
      <w:r>
        <w:t>Angefochten sind kantonal letztinstanzliche Entscheide in strafrechtlichen Angelegenheiten.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In den drei Verfahren hat der Beschwerdeführer als Privatkläger zwei Nichtanhandnahmeverfügungen und eine Einstellungsverfügung angefochten und dabei unentgeltliche Rechtspflege beantragt. Die Abteilungspräsidentin hat die Gesuche abgewiesen mit der Begründung, als Privatkläger habe er Anspruch auf unentgeltliche Rechtspflege, wenn er bedürftig sei und seine Zivilklage nicht aussichtslos sei ( Art. 136 StPO ). Der Beschwerdeführer habe sich in keinem der drei Verfahren als Privatkläger statuiert oder Zivilansprüche geltend gemacht. Da die Gewährung von unentgeltlicher Rechtspflege an den Beschwerdeführer somit die Geltendmachung von Zivilansprüchen voraussetze, seien die Gesuche abzuweisen. In den Verfahren gegen eine Mitarbeiterin der Dienststelle Finanzen des Kantons Luzern und eine (ehemalige) Mitarbeiterin des Strassenverkehrsamtes (1B_658 und 662/2021) seien Zivilansprüche ohnehin ausgeschlossen, da sich Schadenersatz- und Genugtuungsansprüche gegen sie nach dem kantonalen Haftungsgesetz richteten und damit öffentlichrechtlicher Natur seien.</w:t>
      </w:r>
    </w:p>
    <w:p>
      <w:r>
        <w:t>Der Beschwerdeführer setzt sich mit dieser Begründung (einmal mehr) nicht sachgerecht auseinander. Die Staatsanwaltschaft hat die Strafverfahren gegen die drei von ihm Angezeigten nicht an die Hand genommen oder eingestellt, weil sie keinen Anfangsverdacht auf strafbare Handlungen gefunden hat. Es kann damit, entgegen der nicht näher begründeten und schon gar nicht belegten Behauptung, keine Rede davon sein, dass die drei Beschuldigten "durch Urkundenbeweise überführt" sind. Die Feststellung des Kantonsgerichts, der Beschwerdeführer habe im Strafverfahren keine adhäsionsweisen Zivilforderungen geltend gemacht, bestreitet er, ohne indessen nachzuweisen und zu belegen, wann er welche Zivilforderungen stellte. Im Verfahren 1B_660/2021 macht er zwar geltend, er habe Anspruch auf die Rückerstattung der durch den Beschuldigten arglistig vereinnahmten Mietkaution, räumt aber selber ein, dass dies Gegenstand eines zivilrechtlichen Verfahrens vor dem Bezirksgericht Luzern sei. Zu den zutreffenden Ausführungen des Kantonsgerichts, wonach Zivilansprüche gegen Kantonsangestellte (Verfahren 1B_658 und 662/2021) von vornherein ausgeschlossen sind, weil der Kanton für sie nach öffentlichem Recht direkt und ausschliesslich haftet (§ 4 des Luzerner Haftungsgesetzes vom 13. September 1998), äussert er sich nicht.</w:t>
      </w:r>
    </w:p>
    <w:p>
      <w:r>
        <w:t>Zusammenfassend bringt somit der Beschwerdeführer nichts vor, was die Auffassung der Abteilungspräsidentin, er habe in keinem der drei Strafverfahren eine (nicht aussichtslose) Zivilklage eingereicht und damit nach Art. 136 Abs. 1 StPO als Privatkläger von vornherein keinen Anspruch auf unentgeltliche Rechtspflege, in Frage stellen könnte. Auf die Beschwerden ist wegen Verletzung der gesetzlichen Begründungspflicht nicht einzutreten, wobei auf die Erhebung von Kosten zu verzichten ist.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