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1B_654/2011 vom 7. Dezember 2011</w:t>
      </w:r>
    </w:p>
    <w:p>
      <w:r>
        <w:t>Bundesgericht, 2011-12-07, FR</w:t>
      </w:r>
    </w:p>
    <w:p>
      <w:r>
        <w:rPr>
          <w:b/>
        </w:rPr>
        <w:t xml:space="preserve">Quelle: </w:t>
      </w:r>
      <w:r>
        <w:t>https://mcp.opencaselaw.ch/entscheid/bger_1B_654_2011</w:t>
      </w:r>
    </w:p>
    <w:p>
      <w:r>
        <w:t>FR: TF 1B_654/2011 du 7 décembre 2011</w:t>
      </w:r>
    </w:p>
    <w:p>
      <w:r>
        <w:t>IT: TF 1B_654/2011 del 7 dicembre 2011</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La détention du recourant ne se fonde plus sur l'ordonnance de refus de mise en liberté du 17 octobre 2011, mais sur l'ordonnance du 27 octobre 2011 prolongeant la détention provisoire jusqu'au 27 janvier 2012. Cette dernière ordonnance se réfère toutefois expressément à l'ordonnance du 17 octobre 2011, de sorte que le recourant conserve un intérêt actuel et pratique à l'annulation de celle-ci ( art. 81 al. 1 let. b LTF ).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remet pas en cause le caractère suffisant des charges, mais il conteste l'existence d'un risque de récidive.</w:t>
      </w:r>
    </w:p>
    <w:p>
      <w:r>
        <w:rPr>
          <w:b/>
        </w:rPr>
        <w:t>E. 3.1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 Enfin, l' art. 221 al. 2 CPP permet d'ordonner la détention lorsqu'il y a lieu de craindre un passage à l'acte, même en l'absence de toute infraction préalable. La menace de commettre un crime grave au sens de cette disposition peut aussi résulter d'actes concluants (arrêt 1B_440/2011 du 23 septembre 2011 consid. 2.4 destiné à la publication).</w:t>
      </w:r>
    </w:p>
    <w:p>
      <w:r>
        <w:rPr>
          <w:b/>
        </w:rPr>
        <w:t>E. 3.2</w:t>
      </w:r>
    </w:p>
    <w:p>
      <w:r>
        <w:t>En l'espèce, il est établi que le recourant a provoqué un incendie dans la chambre qu'il occupait dans un foyer et qu'il a quitté les lieux sans donner l'alerte. Ce comportement était de nature à mettre sérieusement en danger la sécurité publique, les dégâts provoqués par l'incendie laissant entrevoir les risques encourus par les autres occupants de l'immeuble. Il est également établi que le recourant présente un risque de commettre à nouveau des infractions, l'expertise psychiatrique à laquelle il s'est soumis concluant à l'existence d'un tel risque. Selon le diagnostic posé, le recourant présentait au moment des faits un "grave trouble mental sous forme d'un trouble psychotique aigu, ainsi qu'un retard mental léger et un trouble grave de la personnalité". Ce trouble est certes en rémission grâce aux soins prodigués en détention, mais des rechutes aiguës peuvent survenir et conduire à la commission de nouvelles infractions. Selon l'expert, si le prévenu ne présente pas de tendances particulièrement pyromaniaques, son comportement est relativement imprévisible de sorte que l'on peut s'attendre "à tout type d'infractions". Dans ces conditions, l'absence d'antécédents n'apparaît pas déterminante dans l'appréciation du risque de réitération. Compte tenu du trouble sévère diagnostiqué, du comportement clairement dangereux qu'il a engendré et du risque de récidive constaté par l'expert, il y a lieu de craindre que le recourant compromette à nouveau sérieusement la sécurité d'autrui. La situation est donc suffisamment grave en l'espèce pour retenir l'existence d'un risque de récidive malgré l'absence d'antécédents. Ce premier grief doit donc être rejeté.</w:t>
      </w:r>
    </w:p>
    <w:p>
      <w:r>
        <w:rPr>
          <w:b/>
        </w:rPr>
        <w:t>E. 4</w:t>
      </w:r>
    </w:p>
    <w:p>
      <w:r>
        <w:t>Invoquant une violation du principe de la proportionnalité, le recourant fait grief aux autorités précédentes d'avoir refusé d'ordonner des mesures de substitution à la détention.</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4.2</w:t>
      </w:r>
    </w:p>
    <w:p>
      <w:r>
        <w:t>En l'occurrence, le recourant avait proposé à titre de mesures de substitution une assignation à résidence à la clinique de Belle-Idée assortie d'une obligation de se soumettre à un traitement médical. Il précisait en outre qu'il ne s'opposait pas au port d'un bracelet électronique si nécessaire. La Cour de justice a rejeté ces propositions sur la base d'une argumentation que l'on peine à suivre. Elle relève que l'assignation à résidence avec une obligation de traitement ne doit pas être confondue avec un placement institutionnel ordonné par le juge du fond en application de l' art. 374 CPP . La combinaison des mesures proposées par le recourant se rapprocherait d'une obligation de traitement en milieu fermé, qui ne serait possible qu'au titre de l'exécution anticipée prévue à l' art. 236 CPP . De plus, l'expert préconisait certes un placement en milieu institutionnel ouvert, mais en l'assortissant de l'exigence d'une mesure tutélaire, la médication du recourant nécessitant par ailleurs un encadrement strict. La Cour de justice conclut en exposant que la question de savoir si "la solution élaborée par l'expert ne revient pas, matériellement, à un placement institutionnel en milieu fermé" relève du juge du fond.</w:t>
      </w:r>
    </w:p>
    <w:p>
      <w:r>
        <w:t>Ces considérations de l'arrêt attaqué n'emportent pas la conviction. Il est clair que l' art. 374 CPP relatif aux mesures à l'égard des prévenus irresponsables ne trouve pas application à ce stade de la procédure et que la situation doit s'examiner à l'aune de l' art. 237 CPP . Cela ne signifie pas pour autant qu'un placement en institution est exclu avant un jugement au fond. En effet, la liste des mesures de substitution énoncée à l' art. 237 CPP n'est pas exhaustive et rien ne s'oppose à un tel placement - combiné le cas échéant à d'autres mesures - si cela permet d'atteindre le même but que la détention. En l'occurrence, l'expert-psychiatre estime que le risque de commission de nouvelles infractions existe "surtout en cas d'interruption du traitement psychiatrique", un tel traitement étant "susceptible de diminuer le risque de récidive". Il précise que le recourant doit être encadré par une structure institutionnelle et qu'une institution ouverte peut être envisagée dès lors qu'il est peu à craindre que l'intéressé tente de se dérober à cet encadrement. L'expert préconise le placement dans un foyer ouvert, voire dans un hôpital psychiatrique tel que la clinique de Belle-Idée en attendant de trouver un foyer adapté. L'hôpital psychiatrique ne pourrait toutefois constituer qu'une mesure transitoire et non une solution à long terme. L'expert relève enfin qu'une mesure tutélaire "semble nécessaire pour soutenir l'expertisé dans la gestion de ses affaires".</w:t>
      </w:r>
    </w:p>
    <w:p>
      <w:r>
        <w:t>Il ressort donc de l'expertise psychiatrique que le recourant n'a pas sa place dans un établissement de détention provisoire et qu'il doit être transféré dans une institution plus adaptée à sa pathologie. Par conséquent, il y a lieu de mettre en oeuvre sans tarder les mesures préconisées par l'expert. Dès lors que ce dernier relève que ces mesures sont aptes à réduire le risque de récidive et que le recourant est prêt à s'y soumettre, on ne voit pas ce qui s'opposerait à un placement en institution ouverte, assorti de l'obligation de suivre un traitement comme le recourant lui-même le requiert. En revanche, la mise en place d'une surveillance électronique n'apparaît pas nécessaire, l'expert ayant estimé qu'il est "peu à craindre que l'expertisé tente de se dérober" à l'encadrement offert par une institution ouverte. La Cour de justice ne saurait être suivie lorsqu'elle affirme que le placement exige encore la mise en oeuvre préalable de la mesure tutélaire évoquée par l'expert. Il ressort en effet du rapport d'expertise que si une mesure tutélaire "semble nécessaire", c'est uniquement pour "soutenir l'expertisé dans la gestion de ses affaires" et non pour réduire le risque de récidive en assurant notamment le suivi du traitement. Ce suivi est en effet déjà en partie garanti par le placement en institution.</w:t>
      </w:r>
    </w:p>
    <w:p>
      <w:r>
        <w:t>En définitive, il y a lieu d'ordonner le placement du recourant en institution ouverte - précédé le cas échéant d'un placement à la clinique de Belle-Idée ou dans une institution offrant des conditions similaires - assorti de l'obligation de poursuivre le traitement psychiatrique suivi actuellement. Ces mesures étant aptes à atteindre le même but que la détention au regard du risque de réitération, elles peuvent être ordonnées à titre de mesures de substitution au sens de l' art. 237 CPP .</w:t>
      </w:r>
    </w:p>
    <w:p>
      <w:r>
        <w:rPr>
          <w:b/>
        </w:rPr>
        <w:t>E. 4.3</w:t>
      </w:r>
    </w:p>
    <w:p>
      <w:r>
        <w:t>Il n'appartient pas au Tribunal fédéral de s'assurer de la mise en oeuvre pratique des mesures de substitution susmentionnées, de sorte qu'il ne peut pas ordonner lui-même la libération provisoire du recourant. La conclusion prise en ce sens doit donc être rejetée. La cause doit être renvoyée au tribunal compétent - en l'espèce le Tribunal des mesures de contrainte - pour qu'il prenne les dispositions utiles afin d'ordonner, dans les plus brefs délais, la mise en liberté provisoire du recourant assortie des mesures de substitution précitées.</w:t>
      </w:r>
    </w:p>
    <w:p>
      <w:r>
        <w:rPr>
          <w:b/>
        </w:rPr>
        <w:t>E. 5</w:t>
      </w:r>
    </w:p>
    <w:p>
      <w:r>
        <w:t>Il s'ensuit que le recours doit être admis partiellement et l'arrêt attaqué annulé. L'ordonnance de refus de mise en liberté rendue le 17 octobre 2011 par le Tribunal des mesures de contrainte du canton de Genève doit également être annulée, la cause étant renvoyée à cette autorité pour nouvelle décision dans le sens des considérants. Il n'y a pas lieu de percevoir de frais judiciaires ( art. 66 al. 4 LTF ). L'Etat de Genève versera en revanche une indemnité de dépens au recourant,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