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64/2015 vom 17. März 2015</w:t>
      </w:r>
    </w:p>
    <w:p>
      <w:r>
        <w:t>Bundesgericht, 2015-03-17, FR</w:t>
      </w:r>
    </w:p>
    <w:p>
      <w:r>
        <w:rPr>
          <w:b/>
        </w:rPr>
        <w:t xml:space="preserve">Quelle: </w:t>
      </w:r>
      <w:r>
        <w:t>https://mcp.opencaselaw.ch/entscheid/bger_1B_64_2015</w:t>
      </w:r>
    </w:p>
    <w:p>
      <w:r>
        <w:t>FR: TF 1B 64/2015 du 17 mars 2015</w:t>
      </w:r>
    </w:p>
    <w:p>
      <w:r>
        <w:t>IT: TF 1B 64/2015 del 17 marzo 2015</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à l'échéance du délai fixé à l' art. 100 al. 1 LTF contre une décision prise, par la direction de la procédure de la juridiction d'appel, en dernière instance cantonale ( art. 233 CPP et art. 80 LTF ). Le recourant, dont la demande de mise en liberté a été écartée, a qualité pour agir (art. 81 al. 1 let. a et b ch. 1 LTF)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et 5 par. 1 let. c CEDH). Cette condition n'est pas remise en cause en l'espèce, la cour cantonale ayant considéré à juste titre que les faits retenus dans le jugement de première instance pouvaient tenir lieu de soupçons suffisants, ce qui n'est pas contesté par le recourant.</w:t>
      </w:r>
    </w:p>
    <w:p>
      <w:r>
        <w:rPr>
          <w:b/>
        </w:rPr>
        <w:t>E. 3</w:t>
      </w:r>
    </w:p>
    <w:p>
      <w:r>
        <w:t>Le recourant conteste l'existence d'un risque de fuite. Il relève qu'il a quitté son pays natal en 1995 et qu'il est aujourd'hui de nationalité suisse. Il vit avec celle qu'il a épousée le 8 mars 2013 et exerce son droit de visite sur ses trois enfants, nés en 1999, 2000 et 2004, pour lesquels il verse une pension alimentaire. Sa mère vit également en Suisse, son père étant décédé. Il aurait régulièrement travaillé en Suisse, dernièrement pour une entreprise de montage à Gimel. Bien que la procédure dure depuis 2012 et que le recourant ait eu l'occasion de fuir, le Ministère public n'avait jamais requis sa mise en détention. La sanction, contestée, ne serait pas suffisante pour justifier à elle seule son placement en détention</w:t>
      </w:r>
    </w:p>
    <w:p>
      <w:r>
        <w:rPr>
          <w:b/>
        </w:rPr>
        <w:t>E. 3.1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 Il est sans importance que l'extradition du prévenu puisse être obtenue ( ATF 123 I 31 consid. 3d p. 36 s.).</w:t>
      </w:r>
    </w:p>
    <w:p>
      <w:r>
        <w:rPr>
          <w:b/>
        </w:rPr>
        <w:t>E. 3.2</w:t>
      </w:r>
    </w:p>
    <w:p>
      <w:r>
        <w:t>Le recourant a certes des liens sérieux avec la Suisse, pays dont il a acquis la nationalité et où réside son épouse actuelle et ses enfants. En dépits de ces attaches - également professionnelles -, le recourant a conservé des liens avec son pays d'origine dans lequel il a résidé jusqu'à l'âge de vingt ans. Il a déclaré avoir conservé une relation avec son oncle retourné en Bosnie, et aurait fait venir une cousine de son pays d'origine pour l'épouser. Le recourant n'a certes pas profité de sa liberté pour se soustraire à l'enquête et il s'est présenté aux débats de première instance. Toutefois, après la lourde condamnation prononcée par le tribunal, la perspective de passer plusieurs années en prison apparaît désormais concrète, ce qui n'était pas forcément le cas auparavant (cf. ATF 139 IV 270 consid. 3.1). Le risque de fuite apparaît ainsi incontestable.</w:t>
      </w:r>
    </w:p>
    <w:p>
      <w:r>
        <w:rPr>
          <w:b/>
        </w:rPr>
        <w:t>E. 3.3</w:t>
      </w:r>
    </w:p>
    <w:p>
      <w:r>
        <w:t>Invoquant le principe de la proportionnalité, le recourant estime que sa mise en liberté aurait dû être ordonnée moyennant des mesures de substitution.</w:t>
      </w:r>
    </w:p>
    <w:p>
      <w:r>
        <w:rPr>
          <w:b/>
        </w:rPr>
        <w:t>E. 3.3.1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3.3.2</w:t>
      </w:r>
    </w:p>
    <w:p>
      <w:r>
        <w:t>En l'occurrence, la décision du Tribunal correctionnel n'examine nullement la possibilité d'ordonner une ou plusieurs mesures de substitution en lieu et place de la détention. Toutefois, dans son recours qui a finalement été traité comme une demande de mise en liberté, le recourant contestait l'existence d'un risque de fuite mais ne proposait nullement une mesure susceptible de pallier ce risque. Ce dernier apparaissant relativement important, l'efficacité d'un dépôt de documents d'identité, voire d'un contrôle périodique n'apparaissait guère évidente à première vue. Le recourant n'a pas non plus fourni la moindre indication permettant d'envisager une libération moyennant des sûretés. Dans ces conditions, la cour cantonale n'avait pas à examiner d'office la possibilité d'une libération moyennant des mesures de substitution.</w:t>
      </w:r>
    </w:p>
    <w:p>
      <w:r>
        <w:rPr>
          <w:b/>
        </w:rPr>
        <w:t>E. 4</w:t>
      </w:r>
    </w:p>
    <w:p>
      <w:r>
        <w:t>Sur le vu de ce qui précède, le recours doit être rejeté. Dès lors que le recourant est dans le besoin et que ses conclusions ne paraissaient pas d'emblée vouées à l'échec, l'assistance judiciaire doit lui être accordée ( art. 64 al. 1 LTF ). Le recourant requiert la désignation de Me Julien Rouvinez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