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1B_643/2022 vom 6. April 2023</w:t>
      </w:r>
    </w:p>
    <w:p>
      <w:r>
        <w:t>Bundesgericht, 2023-04-06, DE</w:t>
      </w:r>
    </w:p>
    <w:p>
      <w:r>
        <w:rPr>
          <w:b/>
        </w:rPr>
        <w:t xml:space="preserve">Quelle: </w:t>
      </w:r>
      <w:r>
        <w:t>https://mcp.opencaselaw.ch/entscheid/bger_1B_643_2022</w:t>
      </w:r>
    </w:p>
    <w:p>
      <w:r>
        <w:t>FR: TF 1B_643/2022 du 6 avril 2023</w:t>
      </w:r>
    </w:p>
    <w:p>
      <w:r>
        <w:t>IT: TF 1B_643/2022 del 6 aprile 2023</w:t>
      </w:r>
    </w:p>
    <w:p>
      <w:pPr>
        <w:pStyle w:val="Heading2"/>
      </w:pPr>
      <w:r>
        <w:t>Erwägungen</w:t>
      </w:r>
    </w:p>
    <w:p>
      <w:r>
        <w:rPr>
          <w:b/>
        </w:rPr>
        <w:t>E. 1</w:t>
      </w:r>
    </w:p>
    <w:p>
      <w:r>
        <w:t>Die beiden im Wesentlichen gleichlautenden Beschwerden richten sich gegen zwei praktisch identische Entscheide des Obergerichts. Sie hängen inhaltlich eng zusammen. Es rechtfertigt sich deshalb, die Verfahren in sinngemässer Anwendung von Art. 24 BZP (in Verbindung mit Art. 71 BGG ) zusammenzufassen und durch ein einziges Urteil zu erledigen (Urteil 1C_679/2021 vom 23. September 2022 E. 1 mit Hinweis).</w:t>
      </w:r>
    </w:p>
    <w:p>
      <w:r>
        <w:rPr>
          <w:b/>
        </w:rPr>
        <w:t>E. 2</w:t>
      </w:r>
    </w:p>
    <w:p>
      <w:r>
        <w:t>Die angefochtenen Entscheide stellen selbstständig eröffnete Zwischenentscheide über Ausstandsbegehren dar. Dagegen steht die Beschwerde in Strafsachen zur Verfügung ( Art. 78 Abs. 1 und Art. 92 BGG ). Das Obergericht hat nach Art. 59 Abs. 1 lit. b i.V.m. Art. 380 StPO als einzige kantonale Instanz entschieden. Die Beschwerde ist somit gemäss Art. 80 BGG zulässig.</w:t>
      </w:r>
    </w:p>
    <w:p>
      <w:r>
        <w:t>Gemäss Art. 81 Abs. 1 BGG ist zur Erhebung einer Beschwerde in Strafsachen berechtigt, wer vor der Vorinstanz am Verfahren teilgenommen oder keine Möglichkeit zur Teilnahme erhalten hat (lit. a) und ein rechtlich geschütztes Interesse an der Aufhebung oder Änderung des angefochtenen Entscheids hat (lit. b).</w:t>
      </w:r>
    </w:p>
    <w:p>
      <w:r>
        <w:t>In Art. 81 Abs. 1 lit. b BGG werden in einer nicht abschliessenden Aufzählung unter anderem die beschuldigte Person (Ziff. 1) und die Staatsanwaltschaft genannt (Ziff. 3); die von einem Ausstandsentscheid betroffene Gerichtsperson wird dagegen nicht aufgeführt. Die Bestimmung ist als "Generalklausel mit Regelbeispielen" konzipiert. Dies bedeutet zum einen, dass die Aufzählung, wie bereits erwähnt, nicht abschliessend ist. Zum andern hat aber auch nicht in jedem Fall ein rechtlich geschütztes Interesse an der Aufhebung oder Änderung eines Entscheids in einer Strafsache, wer in der Aufzählung ausdrücklich genannt ist. Mit anderen Worten verleiht die Bestimmung von Art. 81 Abs. 1 lit. b BGG nicht selbst das rechtlich geschützte Interesse, welches sie voraussetzt ( BGE 139 IV 121 E. 4.2 mit Hinweisen und Beispielen).</w:t>
      </w:r>
    </w:p>
    <w:p>
      <w:r>
        <w:t>Aus der Beschwerdeschrift geht hervor, dass sich der Beschwerdeführer zum einen als Privatperson zur Beschwerde legitimiert betrachtet, weil er durch die Feststellungen des Obergerichts in seiner beruflichen Ehre und damit in seiner Persönlichkeit verletzt werde ( Art. 28 ZGB ). Die an ihm geäusserte Kritik könne sich negativ auf seine Mitarbeiterbeurteilung, die Lohnentwicklung und seine Beförderungschancen auswirken. Zum andern macht er geltend, er erfülle nach der Auffassung des Obergerichts den Anspruch auf den gesetzlichen Richter nicht, weshalb er als betroffener Richter ein rechtlich geschütztes Interesse an der Aufhebung oder Änderung des angefochtenen Entscheids habe.</w:t>
      </w:r>
    </w:p>
    <w:p>
      <w:r>
        <w:t>Entgegen der Auffassung des Beschwerdeführers betrifft ihn der Entscheid, die gegen ihn gerichteten Ausstandsgesuche gutzuheissen, einzig in seiner amtlichen Eigenschaft (vgl. BGE 107 Ia 266 ). Eine Disziplinarmassnahme oder eine andere Anordnung, die ihn in seiner privaten Rechtssphäre treffen würde, wurde nicht erlassen. Der Hinweis, dass künftig derartige Anordnungen (bspw. eine lohnwirksame Massnahme) erfolgen könnten, geht deshalb an der Sache vorbei bzw. über den Streitgegenstand hinaus. Bloss theoretisch mögliche, künftige Auswirkungen vermögen kein schutzwürdiges Interesse zu begründen. Der Streitgegenstand umfasst einzig die Ausstandsfrage, selbst wenn die Behauptung des Beschwerdeführers, dass einzelne Feststellungen in der Entscheidbegründung sein Persönlichkeitsrecht tangieren, zutreffen würde.</w:t>
      </w:r>
    </w:p>
    <w:p>
      <w:r>
        <w:t>Zur Beschwerdebefugnis des Richters in seiner amtlichen Eigenschaft hat das Bundesgericht im soeben zitierten BGE 107 Ia 266 dargelegt, dass ein Richter gegen die Gutheissung eines gegen ihn eingereichten Ablehnungsbegehrens ebensowenig zur Beschwerde befugt sei wie gegen die Aufhebung eines von ihm erlassenen Entscheids durch die Rechtsmittelinstanz (a.a.O., S. 269). An dieser Rechtsprechung, die unter der Geltung des Bundesrechtspflegegesetzes vom 16. Dezember 1943 (BS 3 531) zur staatsrechtlichen Beschwerde erging, ist auch nach dem Inkrafttreten des Bundesgerichtsgesetzes (BGG) vom 17. Juni 2005 festzuhalten (vgl. zum Beschwerderecht nach Art. 81 BGG auch BGE 133 IV 121 E. 1.2). Ein Richter oder eine Richterin hat keinen eigenen Anspruch, an einem bestimmten Verfahren mitzuwirken (BENJAMIN SCHINDLER, Die Befangenheit der Verwaltung, 2002, S. 206; BREITENMOSER/SPORI FEDAIL, in: Praxiskommentar Verwaltungsverfahrensgesetz, 2. Aufl. 2016, N. 119 zu Art. 10 VwVG ; GEROLD STEINMANN, in: St. Galler Kommentar, Die Schweizerische Bundesverfassung, 3. Aufl. 2014, N. 29 zu Art. 30 BV ).</w:t>
      </w:r>
    </w:p>
    <w:p>
      <w:r>
        <w:rPr>
          <w:b/>
        </w:rPr>
        <w:t>E. 3</w:t>
      </w:r>
    </w:p>
    <w:p>
      <w:r>
        <w:t>Auf die Beschwerden ist aus diesem Grund nicht einzutreten.</w:t>
      </w:r>
    </w:p>
    <w:p>
      <w:r>
        <w:t>Bei diesem Ausgang des Verfahrens sind die Gerichtskosten dem Beschwerdeführer aufzuerlegen ( Art. 66 Abs. 1 BGG ). Es ist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