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1B_642/2021 vom 16. Dezember 2021</w:t>
      </w:r>
    </w:p>
    <w:p>
      <w:r>
        <w:t>Bundesgericht, 2021-12-16, DE</w:t>
      </w:r>
    </w:p>
    <w:p>
      <w:r>
        <w:rPr>
          <w:b/>
        </w:rPr>
        <w:t xml:space="preserve">Quelle: </w:t>
      </w:r>
      <w:r>
        <w:t>https://mcp.opencaselaw.ch/entscheid/bger_1B_642_2021</w:t>
      </w:r>
    </w:p>
    <w:p>
      <w:r>
        <w:t>FR: TF 1B_642/2021 du 16 décembre 2021</w:t>
      </w:r>
    </w:p>
    <w:p>
      <w:r>
        <w:t>IT: TF 1B_642/2021 del 16 dicembre 2021</w:t>
      </w:r>
    </w:p>
    <w:p>
      <w:pPr>
        <w:pStyle w:val="Heading2"/>
      </w:pPr>
      <w:r>
        <w:t>Erwägungen</w:t>
      </w:r>
    </w:p>
    <w:p>
      <w:r>
        <w:rPr>
          <w:b/>
        </w:rPr>
        <w:t>E. 1</w:t>
      </w:r>
    </w:p>
    <w:p>
      <w:r>
        <w:t>Der angefochtene, kantonal letztinstanzliche Entscheid betrifft die Verlängerung der Untersuchungshaft ( Art. 220 Abs. 1 StPO , Art. 80 BGG ). Dagegen ist die Beschwerde in Strafsachen nach Art. 78 ff. BGG gegeben. Der Beschwerdeführer nahm vor der Vorinstanz am Verfahren teil und befindet sich nach wie vor in Haft. Er ist deshalb nach Art. 81 Abs. 1 BGG zur Beschwerde berechtigt. Auch sonst steht einem Eintreten auf die Beschwerde im Grundsatz nichts entgegen.</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Anstelle der Haft sind Ersatzmassnahmen anzuordnen, wenn diese den gleichen Zweck erfüllen (vgl. Art. 212 Abs. 2 lit. c und Art. 237 ff. StPO ). Mit dem angefochtenen Entscheid bejahte das Obergericht das Vorliegen eines dringenden Tatverdachts sowie von Fluchtgefahr; dabei erachtete es Ersatzmassnahmen nicht als hinreichend.</w:t>
      </w:r>
    </w:p>
    <w:p>
      <w:r>
        <w:rPr>
          <w:b/>
        </w:rPr>
        <w:t>E. 3</w:t>
      </w:r>
    </w:p>
    <w:p>
      <w:r>
        <w:t>Das Obergericht hat erwogen, der Beschwerdeführer werde zur Hauptsache dringend verdächtigt, zwei voneinander unabhängige Sexualdelikte begangen zu haben. Gemäss der Staatsanwaltschaft habe sich der erste Vorfall am 28. Mai 2018 und der zweite Vorfall am 28. März 2021 ereignet. Beim ersten Vorfall werden dem Beschwerdeführer Schändung, eventuell versuchte Vergewaltigung, und Hausfriedensbruch zum Nachteil einer Frau sowie beim zweiten Vorfall Vergewaltigung und sexuelle Nötigung zum Nachteil einer anderen Frau zur Last gelegt. Das Obergericht hat die Tatvorwürfe detailliert beschrieben und die Anhaltspunkte für einen dringenden Tatverdacht gewürdigt.</w:t>
      </w:r>
    </w:p>
    <w:p>
      <w:r>
        <w:t>Der Beschwerdeführer äussert vor Bundesgericht, er bestreite das Vorliegen eines dringenden Tatverdachts. Diese Frage könne indessen offen gelassen werden, weil es an einem besonderen Haftgrund fehle. Dabei bringt er keine hinreichend substanziierten Rügen gegen die Erwägungen des Obergerichts zum Tatverdacht vor (vgl. Art. 42 Abs. 2 BGG ). Auf seine diesbezüglichen Vorbringen kann daher nicht eingetreten werden.</w:t>
      </w:r>
    </w:p>
    <w:p>
      <w:r>
        <w:rPr>
          <w:b/>
        </w:rPr>
        <w:t>E. 4.1</w:t>
      </w:r>
    </w:p>
    <w:p>
      <w:r>
        <w:t>Die Annahme von Fluchtgefahr ( Art. 221 Abs. 1 lit. a StPO )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aber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145 IV 503 E. 2.2; 143 IV 160 E. 4.3; je mit Hinweisen).</w:t>
      </w:r>
    </w:p>
    <w:p>
      <w:r>
        <w:rPr>
          <w:b/>
        </w:rPr>
        <w:t>E. 4.2</w:t>
      </w:r>
    </w:p>
    <w:p>
      <w:r>
        <w:t>Im angefochtenen Entscheid wird dargelegt, beim Beschwerdeführer würden die für eine Fluchtgefahr sprechenden Gesichtspunkte diejenigen, die dagegen sprächen, deutlich überwiegen. Er sei Staatsangehöriger von Nicaragua, 21-jährig, ledig und kinderlos, und er habe bis zu seinem 13. Altersjahr in Nicaragua gelebt. In der Schweiz wohne er bei seiner Grossmutter und dem Stiefgrossvater. Die familiären und sozialen Bindungen in der Schweiz, seine Aufenthaltsdauer und die Sprachkenntnisse würden für einen gewissen Bezug zur Schweiz sprechen. In Nicaragua würden allerdings sein Vater und seine Geschwister leben; die Mutter sei verstorben. Die berufliche Situation des Beschwerdeführers in der Schweiz sei äusserst ungünstig. Eine Berufslehre habe er abgebrochen und er sei seit längerem arbeitslos. Zudem sei er vorbestraft. Wegen Raufhandels sei er mit Strafbefehl vom 8. Juni 2020 zu einer bedingten Geldstrafe von 35 Tagessätzen zu CHF 30.--, Probezeit zwei Jahre, und einer Busse von Fr. 300.-- verurteilt worden. Im Falle einer Verurteilung wegen der neuen Tatvorwürfe drohe ihm eine empfindliche Sanktion. Alleine Vergewaltigung sei mit Freiheitsstrafe von einem bis zu zehn Jahren bedroht ( Art. 190 StGB ). Zudem sei das Aufenthaltsrecht des Beschwerdeführers in der Schweiz in Frage gestellt. Die Entscheide der Migrationsbehörde über einen Widerruf der Aufenthaltsbewilligung (vgl. Art. 62 Abs. 1 lit. b AIG [SR 142.20]) bzw. des Sachgerichts über die Landesverweisung (vgl. Art. 66a Abs. 1 lit. h i.V.m. Abs. 2 StGB) seien zwar nicht zu präjudizieren. Der drohende Verlust des Aufenthaltsrechts sei aber bereits im laufenden Strafverfahren als Indiz für eine konkrete Fluchtgefahr zu werten. Der Beschwerdeführer könnte sich nicht nur durch Flucht ins Ausland, sondern auch durch Untertauchen im Inland dem Strafverfahren entziehen. Der Umstand, dass er nach Erhebung der Deliktsvorwürfe bezüglich des Vorfalls vom 28. Mai 2018 nicht geflohen sei, spreche nicht gegen eine Fluchtgefahr. Mit der Eröffnung des Strafverfahrens wegen des Vorfalls vom 28. März 2021 habe sich die Ausgangslage für ihn deutlich verschlechtert. Dieser zweite Vorfall deute zudem auf ein beachtliches Gewaltpotenzial und eine erhebliche kriminelle Energie des Beschwerdeführers hin.</w:t>
      </w:r>
    </w:p>
    <w:p>
      <w:r>
        <w:rPr>
          <w:b/>
        </w:rPr>
        <w:t>E. 4.3</w:t>
      </w:r>
    </w:p>
    <w:p>
      <w:r>
        <w:t>Der Beschwerdeführer entgegnet, er habe zu den Angehörigen in Nicaragua seit Jahren keine gelebte Beziehung mehr. In Nicaragua hätte er faktisch niemanden. Sein soziales Netz befinde sich in der Schweiz. Seine Grossmutter und der Stiefgrossvater wie auch die Freundin und seine Freunde in der Schweiz hätten den Kontakt zu ihm trotz des Strafverfahrens nicht abgebrochen; sie würden ihn regelmässig im Gefängnis besuchen. Ein Untertauchen in der Schweiz mit regelmässigem digitalem Kontakt zu engen Bezugspersonen wäre relativ schnell zum Scheitern verurteilt. Bereits im Hinblick auf den Vorfall vom 28. Mai 2018 seien gegen ihn schwere Strafvorwürfe erhoben worden. Dennoch sei er weder untergetaucht noch geflohen, sondern habe sich dem Strafverfahren gestellt. Weder die familiäre noch die berufliche oder finanzielle Lage habe sich nach dem Vorfall vom 28. März 2021 bei ihm verändert. Die Vorinstanz habe sein bisheriges Verhalten im Strafverfahren und die starke Verankerung in der Schweiz falsch gewichtet. Die Annahme von Fluchtgefahr sei bundesrechtswidrig.</w:t>
      </w:r>
    </w:p>
    <w:p>
      <w:r>
        <w:rPr>
          <w:b/>
        </w:rPr>
        <w:t>E. 4.4</w:t>
      </w:r>
    </w:p>
    <w:p>
      <w:r>
        <w:t>Der Vorinstanz ist beizupflichten, dass sich seit dem Vorfall vom 28. März 2021 die Ausgangslage deutlich zulasten des Beschwerdeführers verändert hat. Für den Fall einer Verurteilung hat er mit einer empfindlichen, mehrjährigen Freiheitsstrafe zu rechnen, was einen starken Fluchtanreiz darstellt. Dies gilt selbst dann, wenn davon ausgegangen wird, dass er sich in einem Indizienprozess mit offenem Ausgang befindet. Weiter trifft es zu, dass nach der Rechtsprechung auch der drohende Verlust des Aufenthaltsrechts im laufenden Strafverfahren als Indiz für eine konkrete Fluchtgefahr zu werten ist (vgl. Urteil des Bundesgerichts 1B_358/2019 vom 5. August 2019 E. 3.4.3 mit Hinweisen). Der Beschwerdeführer ist Staatsangehöriger von Nicaragua und auch dort aufgewachsen. Er hat zu gewärtigen, dass er sein Aufenthaltsrecht in der Schweiz infolge des Strafverfahrens verliert. Auch in dieser Hinsicht erscheint sein Interesse, sich den Schweizer Strafverfolgungsbehörden zur Verfügung zu halten, gering.</w:t>
      </w:r>
    </w:p>
    <w:p>
      <w:r>
        <w:t>Hinzu kommt, dass der Beschwerdeführer erst 21 Jahre alt ist und vor seiner Inhaftierung keiner geregelten Arbeit nachging. Selbst wenn er seinen Lebensmittelpunkt seit einigen Jahren in der Schweiz haben sollte, leben in Nicaragua enge Verwandte. Es erscheint wenig glaubhaft, dass er über keine gelebten Beziehungen zu Personen in Nicaragua verfügen soll. Vielmehr genügt die Verbindung zum Heimatland, auch wenn sie nicht sehr stark ist, angesichts der Schwere der ihm zur Last gelegten Delikte und der drohenden straf- wie ausländerrechtlichen Folgen, um von einer konkreten Fluchtgefahr ausgehen zu können. Im Übrigen hat das Obergericht die relevanten Umstände zur Fluchtgefahr zutreffend gewürdigt. Somit ist auch in Betracht zu ziehen, dass der Beschwerdeführer zunächst in der Schweiz untertauchen könnte.</w:t>
      </w:r>
    </w:p>
    <w:p>
      <w:r>
        <w:rPr>
          <w:b/>
        </w:rPr>
        <w:t>E. 4.5</w:t>
      </w:r>
    </w:p>
    <w:p>
      <w:r>
        <w:t>Insgesamt ist bei den gegebenen Umständen eine Flucht ins Ausland oder zunächst ein Untertauchen im Inland keine bloss theoretische Möglichkeit. Vielmehr besteht aufgrund konkreter Anhaltspunkte eine erhebliche Wahrscheinlichkeit, dass der Beschwerdeführer sich auf diese Weise dem Strafverfahren oder der zu erwartenden Sanktion entziehe. Das Obergericht hat kein Bundesrecht verletzt, indem es eine ausgeprägte Fluchtgefahr bejahte.</w:t>
      </w:r>
    </w:p>
    <w:p>
      <w:r>
        <w:rPr>
          <w:b/>
        </w:rPr>
        <w:t>E. 4.6</w:t>
      </w:r>
    </w:p>
    <w:p>
      <w:r>
        <w:t>Da der Haftgrund der Fluchtgefahr gegeben ist, durfte das Obergericht offenlassen, ob auch Wiederholungsgefahr besteht. Auf die diesbezüglichen Rügen des Beschwerdeführers braucht deshalb nicht eingegangen zu werden.</w:t>
      </w:r>
    </w:p>
    <w:p>
      <w:r>
        <w:rPr>
          <w:b/>
        </w:rPr>
        <w:t>E. 5.1</w:t>
      </w:r>
    </w:p>
    <w:p>
      <w:r>
        <w:t>Art. 237 Abs. 2 StPO zählt verschiedene mögliche Ersatzmassnahmen auf, darunter namentlich die Ausweis- und Schriftensperre (lit. b), die Auflage, sich nur oder sich nicht an einem bestimmten Ort oder in einem bestimmten Haus aufzuhalten (lit. c), sowie die Auflage, sich regelmässig bei einer Amtsstelle zu melden (lit. d). Sodann kann das Gericht gemäss Art. 237 Abs. 3 StPO zur Überwachung von Ersatzmassnahmen den Einsatz technischer Geräte und deren feste Verbindung mit der zu überwachenden Person anordnen. Die vom Beschwerdeführer beantragten Ersatzmassnahmen einer Ausweis- und Schriftensperre, einer Meldepflicht und eines Hausarrests sowie deren Überwachung mit Electronic Monitoring und GPS sind an sich zulässig. Unter dem Gesichtspunkt der Verhältnismässigkeit ist überdies die Möglichkeit der Kombination der gesetzlich vorgesehenen Ersatzmassnahmen zu prüfen.</w:t>
      </w:r>
    </w:p>
    <w:p>
      <w:r>
        <w:rPr>
          <w:b/>
        </w:rPr>
        <w:t>E. 5.2</w:t>
      </w:r>
    </w:p>
    <w:p>
      <w:r>
        <w:t>Es entspricht der einschlägigen Praxis, dass Ersatzmassnahmen sich bei einer ausgeprägten Fluchtgefahr regelmässig als unzureichend erweisen (vgl. Urteile 1B_264/2020 vom 17. Juni 2020 E. 6.1; 1B_322/2017 vom 24. August 2017 E. 3.1, nicht publ. in: BGE 143 IV 330 ). Ausserdem ist die Verhältnismässigkeit des Einsatzes technischer Geräte (wie Electronic Monitoring) bei Ersatzmassnahmen nicht nur an der Wahrscheinlichkeit einer Flucht, sondern unter anderem auch am Interesse an der Sicherstellung der Anwesenheit des Beschuldigten im Strafverfahren und an den zeitlichen Verhältnissen des Einzelfalls zu messen (vgl. BGE 145 IV 503 E. 3.3.2). Im vorliegenden Fall verletzt es angesichts der ausgeprägten Fluchtgefahr, des hohen Interesses an der Anwesenheit des Beschuldigten im Strafverfahren über schwere Sexualdelikte und der bisherigen zeitlichen Dauer der Untersuchungshaft kein Bundesrecht, wenn auf die vom Beschwerdeführer beantragten Ersatzmassnahmen verzichtet wird.</w:t>
      </w:r>
    </w:p>
    <w:p>
      <w:r>
        <w:rPr>
          <w:b/>
        </w:rPr>
        <w:t>E. 6</w:t>
      </w:r>
    </w:p>
    <w:p>
      <w:r>
        <w:t>Nach dem Gesagten ist die Beschwerde abzuweisen, soweit darauf einzutreten ist. Bei diesem Verfahrensausgang wird der Beschwerdeführer grundsätzlich kostenpflichtig ( Art. 66 Abs. 1 BGG ). Er stellt jedoch ein Gesuch um unentgeltliche Rechtspflege und 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