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641/2020 vom 10. März 2021</w:t>
      </w:r>
    </w:p>
    <w:p>
      <w:r>
        <w:t>Bundesgericht, 2021-03-10, FR</w:t>
      </w:r>
    </w:p>
    <w:p>
      <w:r>
        <w:rPr>
          <w:b/>
        </w:rPr>
        <w:t xml:space="preserve">Quelle: </w:t>
      </w:r>
      <w:r>
        <w:t>https://mcp.opencaselaw.ch/entscheid/bger_1B_641_2020</w:t>
      </w:r>
    </w:p>
    <w:p>
      <w:r>
        <w:t>FR: TF 1B 641/2020 du 10 mars 2021</w:t>
      </w:r>
    </w:p>
    <w:p>
      <w:r>
        <w:t>IT: TF 1B 641/2020 del 10 marzo 2021</w:t>
      </w:r>
    </w:p>
    <w:p>
      <w:pPr>
        <w:pStyle w:val="Heading2"/>
      </w:pPr>
      <w:r>
        <w:t>Regeste</w:t>
      </w:r>
    </w:p>
    <w:p>
      <w:r>
        <w:t>Procédure pénale; séquestre | Procédure pénale</w:t>
      </w:r>
    </w:p>
    <w:p>
      <w:pPr>
        <w:pStyle w:val="Heading2"/>
      </w:pPr>
      <w:r>
        <w:t>Erwägungen</w:t>
      </w:r>
    </w:p>
    <w:p>
      <w:r>
        <w:rPr>
          <w:b/>
        </w:rPr>
        <w:t>E. 1</w:t>
      </w:r>
    </w:p>
    <w:p>
      <w:r>
        <w:t>L'arrêt attaqué, qui confirme le refus du Ministère public de lever un séquestre ordonné au cours d'une procédure pénale, peut être déféré immédiatement auprès du Tribunal fédéral par la voie du recours en matière pénale nonobstant son caractère incident dans la mesure où il est susceptible de causer un préjudice irréparable au détenteur des biens ou des avoirs séquestrés ( art. 93 al. 1 let. a LTF ; ATF 140 IV 57 consid. 2.3 p. 60). En tant que détentrice des avoirs bancaires séquestrés auprès de la banque C.________ SA, la recourante peut se prévaloir d'un intérêt juridique à obtenir l'annulation de cette décision et la levée du séquestre, de sorte qu'elle dispose de la qualité pour recourir au sens de l' art. 81 al. 1 LTF ( ATF 133 IV 278 consid. 1.3 p. 282). 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La recourante dénonce une violation des art. 197 et 263 al. 1 CPP en lien avec l'existence de soupçons concrets de la commission d'une infraction et reproche à la Chambre de recours d'avoir confirmé le séquestre au terme d'un excès négatif de son pouvoir d'appréciation.</w:t>
      </w:r>
    </w:p>
    <w:p>
      <w:r>
        <w:rPr>
          <w:b/>
        </w:rPr>
        <w:t>E. 2.1</w:t>
      </w:r>
    </w:p>
    <w:p>
      <w:r>
        <w:t>Le séquestre - notamment au sens des art. 263 al. 1 CPP et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Un séquestre est proportionné lorsqu'il porte sur des avoirs dont on peut admettre en particulier qu'ils pourront être vraisemblablement confisqués en application du droit pénal (sur l' art. 70 al. 1 CP , voir notamment ATF 144 IV 285 consid. 2.2 p. 286).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1B_414/2019 du 13 janvier 2020 consid. 2.1). Les probabilités d'une confiscation, respectivement du prononcé d'une créance compensatrice, doivent cependant se renforcer au cours de l'instruction ( ATF 122 IV 91 consid. 4 p. 96).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 arrêt 1B_607/2019 du 5 mai 2020 consid. 3.1).</w:t>
      </w:r>
    </w:p>
    <w:p>
      <w:r>
        <w:rPr>
          <w:b/>
        </w:rPr>
        <w:t>E. 2.2</w:t>
      </w:r>
    </w:p>
    <w:p>
      <w:r>
        <w:t>Dans son ordonnance du 23 juillet 2020, le Ministère public a relevé que l'analyse des flux de fonds, de la documentation relative à l'actionnariat et des documents remis par le prévenu avait permis de comprendre et de vérifier la structure et l'actionnariat du Groupe A.________, ainsi que l'activité du groupe dans le domaine de l'assurance en Angola, et de valider les flux financiers entre les entités du groupe. Cela étant, des interrogations fondant des soupçons de blanchiment demeuraient toujours sans réponse. Il apparaissait en effet insolite que le marché de l'assurance et de la réassurance dans le domaine pétrolier ait été octroyé " autour d'une table ", permettant de concentrer en mains d'une seule personne une fortune colossale pendant plus de seize ans, au détriment d'autres concurrents. L'attribution et le maintien du monopole sur une telle durée suscitaient d'autant plus d'interrogations au regard de l'absence manifeste d'appels d'offres au détriment des autres assureurs, de l'absence de toute condition ou de contrepartie en faveur de l'Etat angolais, du retrait soudain et sans justification du monopole après plus de seize ans, des relations étroites, lors de son attribution, entre le prévenu et le président de D.________ SA, de l'absence de tenues d'assemblées générales pendant plusieurs années sans que l'autorité de surveillance n'en sollicite les motifs, et du manque d'explications à propos de l'abstention ou l'opposition des actionnaires minoritaires. Par ailleurs, si la majorité des transferts et des flux de fonds avaient pu être expliqués, restaient encore obscurs les transferts de A.________ Ltd en lien avec la production des deux contrats de prêts, sans aucun détail relatif aux participations des prêteurs, établis de surcroît après coup et produits en réponse à une demande de justification de sorties de fonds, alors que lesdits contrats seraient à même de justifier leurs entrées et non l'inverse, les transferts qui auraient été exécutés contrairement aux instructions du client, lequel n'avait pas le souvenir d'avoir donné un mandat discrétionnaire à la banque, et le montant de 53 millions de dollars dont la plausibilité n'avait pas pu être vérifiée. Ainsi, à ce stade de l'enquête, de grosses interrogations demeuraient et fondaient les soupçons de blanchiment. La commission rogatoire devrait pouvoir permettre de répondre aux questions encore ouvertes et il se justifiait d'en attendre le résultat. Par ailleurs, il était envisagé de procéder à l'audition d'un ou des représentants d'une société pétrolière ayant signé ou négocié des contrats d'assurance avec A.________ SA, une fois ces derniers identifiés. Dans ses observations sur le recours de A.________ Ltd, le Ministère public a relevé que les autorités angolaises avaient donné suite à la demande d'entraide, que l'examen de la documentation reçue était en cours et qu'il entendait requérir prochainement des actes supplémentaires d'exécution. Il examinait en outre quels représentants de sociétés pétrolières pourraient être auditionnés afin de vérifier la plausibilité des montants articulés. Il ajoutait enfin que la presse s'était fait l'écho d'une demande d'entraide des autorités angolaises contre le prévenu.</w:t>
      </w:r>
    </w:p>
    <w:p>
      <w:r>
        <w:rPr>
          <w:b/>
        </w:rPr>
        <w:t>E. 2.3</w:t>
      </w:r>
    </w:p>
    <w:p>
      <w:r>
        <w:t>La Chambre pénale de recours a rappelé en préambule que les divers séquestres ordonnés, dont celui querellé, étaient fondés sur des soupçons de blanchiment d'argent dans le cadre d'activités d'assurance et de réassurance dans le domaine pétrolier en Angola. Si de nombreux documents avaient été produits afin de répondre aux interrogations du Ministère public, ce dernier n'avait reçu que récemment la réponse des autorités angolaises à sa commission rogatoire et souhaitait encore envoyer, éventuellement, une demande complémentaire en Angola et entendre des représentants de sociétés pétrolières. Il convenait dès lors de lui laisser le temps d'analyser les documents reçus et de poursuivre son instruction. On pouvait penser, comme la recourante, qu'il soupçonne que des actes de corruption ou de gestion déloyale constitueraient des infractions préalables au blanchiment. Cela étant, faute de l'avoir clairement précisé, il lui appartiendra de le faire rapidement, la réponse des autorités angolaises à la commission rogatoire ne laissant rien entrevoir à cet égard. Néanmoins, à ce stade de l'enquête, les indices de la commission d'une infraction pénale en mains du Ministère public étaient encore suffisants pour justifier le maintien du séquestre. Vu que l'instruction de la cause a débuté en décembre 2018, qu'elle revêt un caractère tant complexe qu'international et que son avancement dépend du résultat de la commission rogatoire adressée en Angola, laquelle vient d'adresser sa réponse, le temps écoulé ne rend pas disproportionnée l'atteinte portée par le séquestre aux droits de la recourante.</w:t>
      </w:r>
    </w:p>
    <w:p>
      <w:r>
        <w:rPr>
          <w:b/>
        </w:rPr>
        <w:t>E. 2.4</w:t>
      </w:r>
    </w:p>
    <w:p>
      <w:r>
        <w:t>Le rapport final du Parquet général de la République angolaise en réponse à la commission rogatoire du 11 mars 2020 a été établi le 7 août 2020 et adressé aux autorités genevoises le 13 août 2020. Le Ministère public ne disposait donc pas encore de ce document et de ses annexes lorsqu'il a statué et ne saurait dès lors se voir reprocher de ne pas en avoir tenu compte dans l'examen de la requête de levée de séquestre déposée par la recourante. Il en avait toutefois connaissance lorsqu'il s'est déterminé sur le recours le 28 septembre 2020. La question de savoir s'il a disposé d'un laps de temps suffisant pour tirer les conséquences de ce rapport sur la validité du séquestre et sur la suite à donner à l'instruction de la procédure et si la Cour de justice a à tort considéré qu'il fallait lui laisser le temps d'analyser les documents reçus et de poursuivre son instruction peut rester indécise dès lors que l'arrêt attaqué ne répond pas aux exigences de motivation requises en ce qui concerne le séquestre et l'existence de soupçons suffisants d'une infraction. L' art. 112 al. 1 let. b LTF dispose que les décisions susceptibles d'un recours devant le Tribunal fédéral doivent contenir les motifs déterminants de fait et de droit. Ces décisions doivent indiquer clairement les faits qui sont établis et les déductions juridiques qui sont tirées de l'état de fait déterminant ( ATF 143 III 65 consid. 5.2 p. 70; 141 IV 244 consid. 1.2.1 p. 246). Sur les points de fait décisifs et litigieux, le Tribunal fédéral doit savoir ce que l'autorité précédente a en définitive retenu, écarté ou considéré comme non prouvé. Un état de fait insuffisant empêche l'application des règles de droit pertinentes à la cause et constitue donc une violation du droit ( ATF 135 II 145 consid. 8.2 p. 153). Ces principes sont également valables en ce qui concerne les décisions de séquestre (cf. arrêts 1B_402/2018 du 5 novembre 2018 consid. 3; 1B_18/2014 du 20 mars 2014 consid. 2; 1B_392/2012 du 28 août 2012 consid. 3; 1B_408/2012 du 28 août 2012 consid. 3 et 1B_241/2010 du 6 septembre 2010 consid. 2.3 où la motivation a été jugée insuffisante). La Chambre pénale de recours a constaté que le Ministère public ne déterminait pas précisément, comme il lui incombait de le faire, les infractions préalables au blanchiment d'argent propres à justifier le maintien du séquestre sur les avoirs bancaires de la recourante auprès de la banque C.________ SA. Elle n'a pas jugé ce vice suffisant pour annuler l'ordonnance et lever le séquestre ou renvoyer la cause au Ministère public pour nouvelle décision, mais elle l'a invité à le faire rapidement, relevant au surplus que les indices de la commission d'une infraction pénale étaient encore suffisants, à ce stade de l'enquête, pour justifier le maintien du séquestre. Une motivation aussi succincte, qui conclut de manière générale et sans autre précision à la présence d'indices de blanchiment d'argent suffisants, alors même que la recourante a donné des explications pour chacune des opérations jugées problématiques par le Ministère public, n'est pas suffisante au regard des exigences jurisprudentielles déduites de l' art. 112 al. 1 let b LTF et ne permet pas un contrôle par le Tribunal fédéral de la correcte application du droit et, en particulier, de l' art. 197 al. 1 let. b CPP . Il n'appartient pas à la Cour de céans de suppléer à l'insuffisance de la motivation de l'arrêt cantonal et de vérifier en première instance de recours s'il existe des soupçons suffisants laissant présumer une infraction propres à justifier le maintien du séquestre. Il convient en conséquence d'annuler l'arrêt attaqué et de renvoyer la cause à l'autorité précédente pour qu'elle rende une nouvelle décision suffisamment motivée (cf. art. 112 al. 3 LTF ), qui tiendra compte des faits nouveaux survenus dans l'intervalle, après avoir donné à la recourante l'occasion de se déterminer à leur sujet. Dans l'attente de ce nouvel arrêt, la mesure de séquestre litigieuse est maintenue.</w:t>
      </w:r>
    </w:p>
    <w:p>
      <w:r>
        <w:rPr>
          <w:b/>
        </w:rPr>
        <w:t>E. 3</w:t>
      </w:r>
    </w:p>
    <w:p>
      <w:r>
        <w:t>Les considérants qui précèdent conduisent à l'admission du recours, à l'annulation de l'arrêt attaqué et au renvoi de la cause à la Cour de justice pour nouvelle décision. Conformément à l' art. 68 al. 1 et 2 LTF , la recourante, qui obtient gain de cause avec l'assistance d'un avocat, a droit à des dépens à la charge du canton de Genève. Compte tenu de l'issue du litige,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